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17175" w14:textId="77777777" w:rsidR="00EC67D5" w:rsidRDefault="00EC67D5" w:rsidP="0017552B">
      <w:pPr>
        <w:rPr>
          <w:b/>
          <w:sz w:val="36"/>
        </w:rPr>
      </w:pPr>
    </w:p>
    <w:p w14:paraId="2EBB1F11" w14:textId="77777777" w:rsidR="00EC67D5" w:rsidRDefault="00EC67D5" w:rsidP="0017552B">
      <w:pPr>
        <w:rPr>
          <w:b/>
          <w:sz w:val="36"/>
        </w:rPr>
      </w:pPr>
    </w:p>
    <w:p w14:paraId="2F1FD660" w14:textId="77777777" w:rsidR="00EC67D5" w:rsidRDefault="00EC67D5" w:rsidP="0017552B">
      <w:pPr>
        <w:rPr>
          <w:b/>
          <w:sz w:val="36"/>
        </w:rPr>
      </w:pPr>
    </w:p>
    <w:p w14:paraId="569641B1" w14:textId="77777777" w:rsidR="00EC67D5" w:rsidRDefault="00EC67D5" w:rsidP="0017552B">
      <w:pPr>
        <w:rPr>
          <w:b/>
          <w:sz w:val="36"/>
        </w:rPr>
      </w:pPr>
    </w:p>
    <w:p w14:paraId="5B909630" w14:textId="77777777" w:rsidR="00EC67D5" w:rsidRDefault="00EC67D5" w:rsidP="0017552B">
      <w:pPr>
        <w:rPr>
          <w:b/>
          <w:sz w:val="36"/>
        </w:rPr>
      </w:pPr>
    </w:p>
    <w:p w14:paraId="78320C32" w14:textId="77777777" w:rsidR="00EC67D5" w:rsidRDefault="00EC67D5" w:rsidP="0017552B">
      <w:pPr>
        <w:rPr>
          <w:b/>
          <w:sz w:val="36"/>
        </w:rPr>
      </w:pPr>
    </w:p>
    <w:p w14:paraId="0B4BCA8A" w14:textId="77777777" w:rsidR="00EC67D5" w:rsidRDefault="00EC67D5" w:rsidP="0017552B">
      <w:pPr>
        <w:rPr>
          <w:b/>
          <w:sz w:val="36"/>
        </w:rPr>
      </w:pPr>
    </w:p>
    <w:p w14:paraId="0715C944" w14:textId="77777777" w:rsidR="00FF7857" w:rsidRDefault="00FF7857" w:rsidP="0017552B">
      <w:pPr>
        <w:rPr>
          <w:b/>
          <w:sz w:val="36"/>
        </w:rPr>
      </w:pPr>
    </w:p>
    <w:p w14:paraId="7DD64BFF" w14:textId="77777777" w:rsidR="00FF7857" w:rsidRDefault="00FF7857" w:rsidP="0017552B">
      <w:pPr>
        <w:rPr>
          <w:b/>
          <w:sz w:val="36"/>
        </w:rPr>
      </w:pPr>
    </w:p>
    <w:p w14:paraId="66B81E5C" w14:textId="7E50D3B2" w:rsidR="00EC67D5" w:rsidRPr="00A74833" w:rsidRDefault="00EC67D5" w:rsidP="0017552B">
      <w:pPr>
        <w:rPr>
          <w:b/>
          <w:sz w:val="36"/>
        </w:rPr>
      </w:pPr>
      <w:r w:rsidRPr="00A74833">
        <w:rPr>
          <w:b/>
          <w:sz w:val="36"/>
        </w:rPr>
        <w:t>Wider Review of Scotland’s Statutory Debt Solution</w:t>
      </w:r>
      <w:r>
        <w:rPr>
          <w:b/>
          <w:sz w:val="36"/>
        </w:rPr>
        <w:t>s</w:t>
      </w:r>
      <w:r w:rsidRPr="00A74833">
        <w:rPr>
          <w:b/>
          <w:sz w:val="36"/>
        </w:rPr>
        <w:t xml:space="preserve"> </w:t>
      </w:r>
    </w:p>
    <w:p w14:paraId="62D8F0E7" w14:textId="642E01D2" w:rsidR="00EC67D5" w:rsidRPr="00A74833" w:rsidRDefault="00EC67D5" w:rsidP="0017552B">
      <w:pPr>
        <w:rPr>
          <w:b/>
          <w:sz w:val="36"/>
        </w:rPr>
      </w:pPr>
      <w:r w:rsidRPr="00A74833">
        <w:rPr>
          <w:b/>
          <w:sz w:val="36"/>
        </w:rPr>
        <w:t xml:space="preserve">Stage 2 Working Groups – </w:t>
      </w:r>
      <w:r>
        <w:rPr>
          <w:b/>
          <w:sz w:val="36"/>
        </w:rPr>
        <w:t>Glossary, Acronyms and Legislation</w:t>
      </w:r>
    </w:p>
    <w:p w14:paraId="5CBECD56" w14:textId="2604E940" w:rsidR="00EC67D5" w:rsidRDefault="00EC67D5" w:rsidP="0017552B">
      <w:pPr>
        <w:rPr>
          <w:b/>
          <w:sz w:val="36"/>
        </w:rPr>
      </w:pPr>
      <w:r>
        <w:rPr>
          <w:b/>
          <w:sz w:val="36"/>
        </w:rPr>
        <w:t xml:space="preserve">March </w:t>
      </w:r>
      <w:r w:rsidRPr="00A74833">
        <w:rPr>
          <w:b/>
          <w:sz w:val="36"/>
        </w:rPr>
        <w:t>2022</w:t>
      </w:r>
    </w:p>
    <w:p w14:paraId="1ED848AA" w14:textId="77777777" w:rsidR="00EC67D5" w:rsidRDefault="00EC67D5" w:rsidP="0017552B">
      <w:pPr>
        <w:pBdr>
          <w:bottom w:val="single" w:sz="4" w:space="1" w:color="auto"/>
        </w:pBdr>
        <w:rPr>
          <w:b/>
          <w:sz w:val="36"/>
        </w:rPr>
      </w:pPr>
    </w:p>
    <w:p w14:paraId="6A68753A" w14:textId="5BB7218F" w:rsidR="00EC67D5" w:rsidRDefault="00EC67D5" w:rsidP="0017552B">
      <w:pPr>
        <w:rPr>
          <w:b/>
          <w:sz w:val="36"/>
        </w:rPr>
      </w:pPr>
    </w:p>
    <w:p w14:paraId="4B130EEB" w14:textId="58343F41" w:rsidR="00FF7857" w:rsidRDefault="00FF7857" w:rsidP="0017552B">
      <w:pPr>
        <w:rPr>
          <w:b/>
          <w:sz w:val="36"/>
        </w:rPr>
      </w:pPr>
    </w:p>
    <w:bookmarkStart w:id="0" w:name="_GoBack" w:displacedByCustomXml="next"/>
    <w:bookmarkEnd w:id="0" w:displacedByCustomXml="next"/>
    <w:sdt>
      <w:sdtPr>
        <w:rPr>
          <w:b w:val="0"/>
          <w:color w:val="auto"/>
          <w:kern w:val="0"/>
          <w:sz w:val="24"/>
        </w:rPr>
        <w:id w:val="165440743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E9B538B" w14:textId="00E02092" w:rsidR="004356B5" w:rsidRPr="00FF7857" w:rsidRDefault="004356B5" w:rsidP="00FF7857">
          <w:pPr>
            <w:pStyle w:val="Heading1"/>
          </w:pPr>
          <w:r w:rsidRPr="00FF7857">
            <w:t>Contents</w:t>
          </w:r>
        </w:p>
        <w:p w14:paraId="5D8F9CA2" w14:textId="4F16FF15" w:rsidR="00F575AD" w:rsidRDefault="004356B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 w:rsidRPr="00D0545D">
            <w:rPr>
              <w:rFonts w:cs="Arial"/>
            </w:rPr>
            <w:fldChar w:fldCharType="begin"/>
          </w:r>
          <w:r w:rsidRPr="00D0545D">
            <w:rPr>
              <w:rFonts w:cs="Arial"/>
            </w:rPr>
            <w:instrText xml:space="preserve"> TOC \o "1-3" \h \z \u </w:instrText>
          </w:r>
          <w:r w:rsidRPr="00D0545D">
            <w:rPr>
              <w:rFonts w:cs="Arial"/>
            </w:rPr>
            <w:fldChar w:fldCharType="separate"/>
          </w:r>
          <w:hyperlink w:anchor="_Toc100243419" w:history="1">
            <w:r w:rsidR="00F575AD" w:rsidRPr="004F77E4">
              <w:rPr>
                <w:rStyle w:val="Hyperlink"/>
                <w:noProof/>
              </w:rPr>
              <w:t>Gloss</w:t>
            </w:r>
            <w:r w:rsidR="00F575AD" w:rsidRPr="004F77E4">
              <w:rPr>
                <w:rStyle w:val="Hyperlink"/>
                <w:noProof/>
              </w:rPr>
              <w:t>a</w:t>
            </w:r>
            <w:r w:rsidR="00F575AD" w:rsidRPr="004F77E4">
              <w:rPr>
                <w:rStyle w:val="Hyperlink"/>
                <w:noProof/>
              </w:rPr>
              <w:t>ry</w:t>
            </w:r>
            <w:r w:rsidR="00F575AD">
              <w:rPr>
                <w:noProof/>
                <w:webHidden/>
              </w:rPr>
              <w:tab/>
            </w:r>
            <w:r w:rsidR="00F575AD">
              <w:rPr>
                <w:noProof/>
                <w:webHidden/>
              </w:rPr>
              <w:fldChar w:fldCharType="begin"/>
            </w:r>
            <w:r w:rsidR="00F575AD">
              <w:rPr>
                <w:noProof/>
                <w:webHidden/>
              </w:rPr>
              <w:instrText xml:space="preserve"> PAGEREF _Toc100243419 \h </w:instrText>
            </w:r>
            <w:r w:rsidR="00F575AD">
              <w:rPr>
                <w:noProof/>
                <w:webHidden/>
              </w:rPr>
            </w:r>
            <w:r w:rsidR="00F575AD">
              <w:rPr>
                <w:noProof/>
                <w:webHidden/>
              </w:rPr>
              <w:fldChar w:fldCharType="separate"/>
            </w:r>
            <w:r w:rsidR="00B00EF3">
              <w:rPr>
                <w:noProof/>
                <w:webHidden/>
              </w:rPr>
              <w:t>2</w:t>
            </w:r>
            <w:r w:rsidR="00F575AD">
              <w:rPr>
                <w:noProof/>
                <w:webHidden/>
              </w:rPr>
              <w:fldChar w:fldCharType="end"/>
            </w:r>
          </w:hyperlink>
        </w:p>
        <w:p w14:paraId="6978DE72" w14:textId="23EBA956" w:rsidR="00F575AD" w:rsidRDefault="00691EF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0243420" w:history="1">
            <w:r w:rsidR="00F575AD" w:rsidRPr="004F77E4">
              <w:rPr>
                <w:rStyle w:val="Hyperlink"/>
                <w:noProof/>
              </w:rPr>
              <w:t>Acronyms</w:t>
            </w:r>
            <w:r w:rsidR="00F575AD">
              <w:rPr>
                <w:noProof/>
                <w:webHidden/>
              </w:rPr>
              <w:tab/>
            </w:r>
            <w:r w:rsidR="00F575AD">
              <w:rPr>
                <w:noProof/>
                <w:webHidden/>
              </w:rPr>
              <w:fldChar w:fldCharType="begin"/>
            </w:r>
            <w:r w:rsidR="00F575AD">
              <w:rPr>
                <w:noProof/>
                <w:webHidden/>
              </w:rPr>
              <w:instrText xml:space="preserve"> PAGEREF _Toc100243420 \h </w:instrText>
            </w:r>
            <w:r w:rsidR="00F575AD">
              <w:rPr>
                <w:noProof/>
                <w:webHidden/>
              </w:rPr>
            </w:r>
            <w:r w:rsidR="00F575AD">
              <w:rPr>
                <w:noProof/>
                <w:webHidden/>
              </w:rPr>
              <w:fldChar w:fldCharType="separate"/>
            </w:r>
            <w:r w:rsidR="00B00EF3">
              <w:rPr>
                <w:noProof/>
                <w:webHidden/>
              </w:rPr>
              <w:t>11</w:t>
            </w:r>
            <w:r w:rsidR="00F575AD">
              <w:rPr>
                <w:noProof/>
                <w:webHidden/>
              </w:rPr>
              <w:fldChar w:fldCharType="end"/>
            </w:r>
          </w:hyperlink>
        </w:p>
        <w:p w14:paraId="5CFAB552" w14:textId="0A9524B4" w:rsidR="00F575AD" w:rsidRDefault="00691EF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00243421" w:history="1">
            <w:r w:rsidR="00F575AD" w:rsidRPr="004F77E4">
              <w:rPr>
                <w:rStyle w:val="Hyperlink"/>
                <w:noProof/>
              </w:rPr>
              <w:t>Legislation</w:t>
            </w:r>
            <w:r w:rsidR="00F575AD">
              <w:rPr>
                <w:noProof/>
                <w:webHidden/>
              </w:rPr>
              <w:tab/>
            </w:r>
            <w:r w:rsidR="00F575AD">
              <w:rPr>
                <w:noProof/>
                <w:webHidden/>
              </w:rPr>
              <w:fldChar w:fldCharType="begin"/>
            </w:r>
            <w:r w:rsidR="00F575AD">
              <w:rPr>
                <w:noProof/>
                <w:webHidden/>
              </w:rPr>
              <w:instrText xml:space="preserve"> PAGEREF _Toc100243421 \h </w:instrText>
            </w:r>
            <w:r w:rsidR="00F575AD">
              <w:rPr>
                <w:noProof/>
                <w:webHidden/>
              </w:rPr>
            </w:r>
            <w:r w:rsidR="00F575AD">
              <w:rPr>
                <w:noProof/>
                <w:webHidden/>
              </w:rPr>
              <w:fldChar w:fldCharType="separate"/>
            </w:r>
            <w:r w:rsidR="00B00EF3">
              <w:rPr>
                <w:noProof/>
                <w:webHidden/>
              </w:rPr>
              <w:t>12</w:t>
            </w:r>
            <w:r w:rsidR="00F575AD">
              <w:rPr>
                <w:noProof/>
                <w:webHidden/>
              </w:rPr>
              <w:fldChar w:fldCharType="end"/>
            </w:r>
          </w:hyperlink>
        </w:p>
        <w:p w14:paraId="37E0D3C3" w14:textId="15684E46" w:rsidR="004356B5" w:rsidRDefault="004356B5" w:rsidP="00CB4805">
          <w:r w:rsidRPr="00D0545D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7A30E6D5" w14:textId="55FE0635" w:rsidR="00EC67D5" w:rsidRDefault="00EC67D5" w:rsidP="0017552B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1019DF2C" w14:textId="457645E5" w:rsidR="000A15C0" w:rsidRPr="00F575AD" w:rsidRDefault="000A15C0" w:rsidP="00F575AD">
      <w:pPr>
        <w:pStyle w:val="Heading1"/>
      </w:pPr>
      <w:bookmarkStart w:id="1" w:name="_Toc100243419"/>
      <w:r>
        <w:lastRenderedPageBreak/>
        <w:t>G</w:t>
      </w:r>
      <w:r w:rsidR="00F575AD">
        <w:t>lossary</w:t>
      </w:r>
      <w:bookmarkEnd w:id="1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Glossary"/>
        <w:tblDescription w:val="A glossary of terms and their definitions used throughout the wider review working group reports"/>
      </w:tblPr>
      <w:tblGrid>
        <w:gridCol w:w="2689"/>
        <w:gridCol w:w="6327"/>
      </w:tblGrid>
      <w:tr w:rsidR="000A15C0" w:rsidRPr="000A15C0" w14:paraId="38CBA583" w14:textId="77777777" w:rsidTr="00F575AD">
        <w:trPr>
          <w:cantSplit/>
          <w:trHeight w:val="441"/>
          <w:tblHeader/>
        </w:trPr>
        <w:tc>
          <w:tcPr>
            <w:tcW w:w="2689" w:type="dxa"/>
          </w:tcPr>
          <w:p w14:paraId="026A5776" w14:textId="380C0B24" w:rsidR="000A15C0" w:rsidRPr="0017552B" w:rsidRDefault="000A15C0" w:rsidP="0017552B">
            <w:pPr>
              <w:rPr>
                <w:rFonts w:cs="Arial"/>
                <w:b/>
                <w:szCs w:val="24"/>
              </w:rPr>
            </w:pPr>
            <w:r w:rsidRPr="000A15C0">
              <w:rPr>
                <w:rFonts w:cs="Arial"/>
                <w:b/>
                <w:szCs w:val="24"/>
              </w:rPr>
              <w:t>Term</w:t>
            </w:r>
          </w:p>
        </w:tc>
        <w:tc>
          <w:tcPr>
            <w:tcW w:w="6327" w:type="dxa"/>
          </w:tcPr>
          <w:p w14:paraId="58D6857B" w14:textId="37407ECD" w:rsidR="0017552B" w:rsidRPr="000A15C0" w:rsidRDefault="000A15C0" w:rsidP="0017552B">
            <w:pPr>
              <w:rPr>
                <w:rFonts w:cs="Arial"/>
                <w:b/>
                <w:szCs w:val="24"/>
              </w:rPr>
            </w:pPr>
            <w:r w:rsidRPr="000A15C0">
              <w:rPr>
                <w:rFonts w:cs="Arial"/>
                <w:b/>
                <w:szCs w:val="24"/>
              </w:rPr>
              <w:t>Definition</w:t>
            </w:r>
          </w:p>
        </w:tc>
      </w:tr>
      <w:tr w:rsidR="000A15C0" w:rsidRPr="00470870" w14:paraId="119B0A02" w14:textId="77777777" w:rsidTr="00F575AD">
        <w:tc>
          <w:tcPr>
            <w:tcW w:w="2689" w:type="dxa"/>
          </w:tcPr>
          <w:p w14:paraId="779966A8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>c</w:t>
            </w:r>
            <w:r w:rsidRPr="00470870">
              <w:rPr>
                <w:rFonts w:cs="Arial"/>
                <w:szCs w:val="24"/>
              </w:rPr>
              <w:t>quirenda</w:t>
            </w:r>
          </w:p>
        </w:tc>
        <w:tc>
          <w:tcPr>
            <w:tcW w:w="6327" w:type="dxa"/>
          </w:tcPr>
          <w:p w14:paraId="633C0BBC" w14:textId="10F8907E" w:rsidR="0017552B" w:rsidRPr="00470870" w:rsidRDefault="000A15C0" w:rsidP="00D47F6A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Any</w:t>
            </w:r>
            <w:r>
              <w:rPr>
                <w:rFonts w:cs="Arial"/>
                <w:szCs w:val="24"/>
              </w:rPr>
              <w:t xml:space="preserve"> property or right </w:t>
            </w:r>
            <w:r w:rsidRPr="00470870">
              <w:rPr>
                <w:rFonts w:cs="Arial"/>
                <w:szCs w:val="24"/>
              </w:rPr>
              <w:t xml:space="preserve">(e.g. inheritance or windfall) acquired </w:t>
            </w:r>
            <w:r>
              <w:rPr>
                <w:rFonts w:cs="Arial"/>
                <w:szCs w:val="24"/>
              </w:rPr>
              <w:t xml:space="preserve">or received by a debtor for a period of </w:t>
            </w:r>
            <w:r w:rsidR="00D47F6A">
              <w:rPr>
                <w:rFonts w:cs="Arial"/>
                <w:szCs w:val="24"/>
              </w:rPr>
              <w:t xml:space="preserve">four </w:t>
            </w:r>
            <w:r>
              <w:rPr>
                <w:rFonts w:cs="Arial"/>
                <w:szCs w:val="24"/>
              </w:rPr>
              <w:t xml:space="preserve">years after the date of </w:t>
            </w:r>
            <w:r w:rsidR="005D1454">
              <w:rPr>
                <w:rFonts w:cs="Arial"/>
                <w:szCs w:val="24"/>
              </w:rPr>
              <w:t>sequestration</w:t>
            </w:r>
            <w:r>
              <w:rPr>
                <w:rFonts w:cs="Arial"/>
                <w:szCs w:val="24"/>
              </w:rPr>
              <w:t>. This property or right would vest with the trustee who can sell or realise for the benefit of creditors.</w:t>
            </w:r>
          </w:p>
        </w:tc>
      </w:tr>
      <w:tr w:rsidR="00EC67D5" w:rsidRPr="00470870" w14:paraId="09E1FC21" w14:textId="77777777" w:rsidTr="00F575AD">
        <w:tc>
          <w:tcPr>
            <w:tcW w:w="2689" w:type="dxa"/>
          </w:tcPr>
          <w:p w14:paraId="5FD8280D" w14:textId="05309DDD" w:rsidR="00EC67D5" w:rsidRPr="00470870" w:rsidRDefault="00EC67D5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Adviser </w:t>
            </w:r>
            <w:r w:rsidR="002F0A3D">
              <w:rPr>
                <w:rFonts w:cs="Arial"/>
                <w:szCs w:val="24"/>
              </w:rPr>
              <w:t xml:space="preserve">- </w:t>
            </w:r>
            <w:r w:rsidRPr="00470870">
              <w:rPr>
                <w:rFonts w:cs="Arial"/>
                <w:szCs w:val="24"/>
              </w:rPr>
              <w:t>Money</w:t>
            </w:r>
            <w:r>
              <w:rPr>
                <w:rFonts w:cs="Arial"/>
                <w:szCs w:val="24"/>
              </w:rPr>
              <w:t>/Debt</w:t>
            </w:r>
          </w:p>
        </w:tc>
        <w:tc>
          <w:tcPr>
            <w:tcW w:w="6327" w:type="dxa"/>
          </w:tcPr>
          <w:p w14:paraId="4FD06C92" w14:textId="6BDBC2F2" w:rsidR="0017552B" w:rsidRPr="00470870" w:rsidRDefault="00EC67D5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Somebody trained to offer </w:t>
            </w:r>
            <w:r>
              <w:rPr>
                <w:rFonts w:cs="Arial"/>
                <w:szCs w:val="24"/>
              </w:rPr>
              <w:t xml:space="preserve">independent </w:t>
            </w:r>
            <w:r w:rsidRPr="00470870">
              <w:rPr>
                <w:rFonts w:cs="Arial"/>
                <w:szCs w:val="24"/>
              </w:rPr>
              <w:t xml:space="preserve">debt </w:t>
            </w:r>
            <w:r>
              <w:rPr>
                <w:rFonts w:cs="Arial"/>
                <w:szCs w:val="24"/>
              </w:rPr>
              <w:t>management advice.</w:t>
            </w:r>
          </w:p>
        </w:tc>
      </w:tr>
      <w:tr w:rsidR="000A15C0" w:rsidRPr="00470870" w14:paraId="0BAB4443" w14:textId="77777777" w:rsidTr="00F575AD">
        <w:tc>
          <w:tcPr>
            <w:tcW w:w="2689" w:type="dxa"/>
          </w:tcPr>
          <w:p w14:paraId="03DBB8FC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Asset Threshold</w:t>
            </w:r>
          </w:p>
        </w:tc>
        <w:tc>
          <w:tcPr>
            <w:tcW w:w="6327" w:type="dxa"/>
          </w:tcPr>
          <w:p w14:paraId="00710A78" w14:textId="6B3FC5DD" w:rsidR="0017552B" w:rsidRPr="00470870" w:rsidRDefault="000A15C0" w:rsidP="0017552B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The maximum level of assets a person can have to allow them to enter a MAP bankruptcy. </w:t>
            </w:r>
          </w:p>
        </w:tc>
      </w:tr>
      <w:tr w:rsidR="000A15C0" w:rsidRPr="00470870" w14:paraId="21D6EE94" w14:textId="77777777" w:rsidTr="00F575AD">
        <w:tc>
          <w:tcPr>
            <w:tcW w:w="2689" w:type="dxa"/>
          </w:tcPr>
          <w:p w14:paraId="44666754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Bankruptcy</w:t>
            </w:r>
          </w:p>
        </w:tc>
        <w:tc>
          <w:tcPr>
            <w:tcW w:w="6327" w:type="dxa"/>
          </w:tcPr>
          <w:p w14:paraId="5F718A63" w14:textId="24CB555D" w:rsidR="000A15C0" w:rsidRPr="00470870" w:rsidRDefault="000A15C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f</w:t>
            </w:r>
            <w:r w:rsidRPr="00470870">
              <w:rPr>
                <w:rFonts w:cs="Arial"/>
                <w:szCs w:val="24"/>
              </w:rPr>
              <w:t xml:space="preserve">ormal </w:t>
            </w:r>
            <w:r>
              <w:rPr>
                <w:rFonts w:cs="Arial"/>
                <w:szCs w:val="24"/>
              </w:rPr>
              <w:t xml:space="preserve">insolvency </w:t>
            </w:r>
            <w:r w:rsidRPr="00470870">
              <w:rPr>
                <w:rFonts w:cs="Arial"/>
                <w:szCs w:val="24"/>
              </w:rPr>
              <w:t xml:space="preserve">process </w:t>
            </w:r>
            <w:r>
              <w:rPr>
                <w:rFonts w:cs="Arial"/>
                <w:szCs w:val="24"/>
              </w:rPr>
              <w:t xml:space="preserve">where a trustee is appointed to realise and distribute the bankrupt’s (debtor’s) estate for the benefit of creditors. </w:t>
            </w:r>
          </w:p>
        </w:tc>
      </w:tr>
      <w:tr w:rsidR="000A15C0" w:rsidRPr="00470870" w14:paraId="11228793" w14:textId="77777777" w:rsidTr="00F575AD">
        <w:tc>
          <w:tcPr>
            <w:tcW w:w="2689" w:type="dxa"/>
          </w:tcPr>
          <w:p w14:paraId="4D8B6BD9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Bankruptcy Restriction Order (BRO)</w:t>
            </w:r>
          </w:p>
        </w:tc>
        <w:tc>
          <w:tcPr>
            <w:tcW w:w="6327" w:type="dxa"/>
          </w:tcPr>
          <w:p w14:paraId="5A8A927C" w14:textId="0E1497C4" w:rsidR="0017552B" w:rsidRPr="0017552B" w:rsidRDefault="000A15C0" w:rsidP="0017552B">
            <w:pPr>
              <w:rPr>
                <w:rFonts w:cs="Arial"/>
                <w:color w:val="000000"/>
                <w:szCs w:val="24"/>
              </w:rPr>
            </w:pPr>
            <w:r w:rsidRPr="00470870">
              <w:rPr>
                <w:rFonts w:cs="Arial"/>
                <w:color w:val="000000"/>
                <w:szCs w:val="24"/>
              </w:rPr>
              <w:t xml:space="preserve">Restrictions placed on a debtor where there has been a level of misconduct either before or after the date of </w:t>
            </w:r>
            <w:r w:rsidR="005D1454">
              <w:rPr>
                <w:rFonts w:cs="Arial"/>
                <w:color w:val="000000"/>
                <w:szCs w:val="24"/>
              </w:rPr>
              <w:t>sequestration</w:t>
            </w:r>
            <w:r w:rsidRPr="00470870">
              <w:rPr>
                <w:rFonts w:cs="Arial"/>
                <w:color w:val="000000"/>
                <w:szCs w:val="24"/>
              </w:rPr>
              <w:t xml:space="preserve">. The restrictions are imposed by a Sheriff </w:t>
            </w:r>
            <w:r>
              <w:rPr>
                <w:rFonts w:cs="Arial"/>
                <w:color w:val="000000"/>
                <w:szCs w:val="24"/>
              </w:rPr>
              <w:t xml:space="preserve">or the Accountant in Bankruptcy </w:t>
            </w:r>
            <w:r w:rsidRPr="00470870">
              <w:rPr>
                <w:rFonts w:cs="Arial"/>
                <w:color w:val="000000"/>
                <w:szCs w:val="24"/>
              </w:rPr>
              <w:t>and remain in force after the date of discharge for periods varying between two and 15 years, depending upon the severity of the misconduct.</w:t>
            </w:r>
            <w:r>
              <w:rPr>
                <w:rFonts w:cs="Arial"/>
                <w:color w:val="000000"/>
                <w:szCs w:val="24"/>
              </w:rPr>
              <w:t xml:space="preserve"> These are published on the Register of Insolvenci</w:t>
            </w:r>
            <w:r w:rsidR="0017552B">
              <w:rPr>
                <w:rFonts w:cs="Arial"/>
                <w:color w:val="000000"/>
                <w:szCs w:val="24"/>
              </w:rPr>
              <w:t>es.</w:t>
            </w:r>
          </w:p>
        </w:tc>
      </w:tr>
      <w:tr w:rsidR="000A15C0" w:rsidRPr="00470870" w14:paraId="65241937" w14:textId="77777777" w:rsidTr="00F575AD">
        <w:tc>
          <w:tcPr>
            <w:tcW w:w="2689" w:type="dxa"/>
          </w:tcPr>
          <w:p w14:paraId="74B7D4C9" w14:textId="676D94C5" w:rsidR="000A15C0" w:rsidRPr="00470870" w:rsidDel="00DB207C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Business </w:t>
            </w:r>
            <w:r>
              <w:rPr>
                <w:rFonts w:cs="Arial"/>
                <w:szCs w:val="24"/>
              </w:rPr>
              <w:t>Debt Arrangement Scheme (DAS)</w:t>
            </w:r>
          </w:p>
        </w:tc>
        <w:tc>
          <w:tcPr>
            <w:tcW w:w="6327" w:type="dxa"/>
          </w:tcPr>
          <w:p w14:paraId="67D157D9" w14:textId="4540559D" w:rsidR="000A15C0" w:rsidRPr="0017552B" w:rsidRDefault="000A15C0" w:rsidP="0017552B">
            <w:pPr>
              <w:rPr>
                <w:rFonts w:cs="Arial"/>
                <w:color w:val="000000"/>
                <w:szCs w:val="24"/>
              </w:rPr>
            </w:pPr>
            <w:r w:rsidRPr="00470870">
              <w:rPr>
                <w:rFonts w:cs="Arial"/>
                <w:color w:val="000000"/>
                <w:szCs w:val="24"/>
              </w:rPr>
              <w:t xml:space="preserve">A statutory debt management tool to help partnerships, trusts or </w:t>
            </w:r>
            <w:r>
              <w:rPr>
                <w:rFonts w:cs="Arial"/>
                <w:color w:val="000000"/>
                <w:szCs w:val="24"/>
              </w:rPr>
              <w:t xml:space="preserve">an </w:t>
            </w:r>
            <w:r w:rsidRPr="00470870">
              <w:rPr>
                <w:rFonts w:cs="Arial"/>
                <w:color w:val="000000"/>
                <w:szCs w:val="24"/>
              </w:rPr>
              <w:t>unincorporated body of persons which are in debt to pay off their creditors over an extended period of time</w:t>
            </w:r>
            <w:r>
              <w:rPr>
                <w:rFonts w:cs="Arial"/>
                <w:color w:val="000000"/>
                <w:szCs w:val="24"/>
              </w:rPr>
              <w:t>. This also provides t</w:t>
            </w:r>
            <w:r w:rsidRPr="00470870">
              <w:rPr>
                <w:rFonts w:cs="Arial"/>
                <w:color w:val="000000"/>
                <w:szCs w:val="24"/>
              </w:rPr>
              <w:t>hem protection from creditors taking action against them to recover their debts.</w:t>
            </w:r>
          </w:p>
        </w:tc>
      </w:tr>
      <w:tr w:rsidR="000A15C0" w:rsidRPr="00470870" w14:paraId="3E298678" w14:textId="77777777" w:rsidTr="00F575AD">
        <w:tc>
          <w:tcPr>
            <w:tcW w:w="2689" w:type="dxa"/>
          </w:tcPr>
          <w:p w14:paraId="34E836B6" w14:textId="77777777" w:rsidR="000A15C0" w:rsidRPr="00470870" w:rsidRDefault="000A15C0" w:rsidP="0017552B">
            <w:pPr>
              <w:tabs>
                <w:tab w:val="left" w:pos="120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</w:t>
            </w:r>
          </w:p>
        </w:tc>
        <w:tc>
          <w:tcPr>
            <w:tcW w:w="6327" w:type="dxa"/>
          </w:tcPr>
          <w:p w14:paraId="30336153" w14:textId="2535C6F8" w:rsidR="000A15C0" w:rsidRPr="0017552B" w:rsidRDefault="000A15C0" w:rsidP="0017552B">
            <w:r>
              <w:t>Economy and Fair Work Committee</w:t>
            </w:r>
            <w:r w:rsidRPr="000B23E3">
              <w:t xml:space="preserve"> </w:t>
            </w:r>
            <w:r>
              <w:t xml:space="preserve">(previously the </w:t>
            </w:r>
            <w:r w:rsidRPr="000B23E3">
              <w:t>Economy</w:t>
            </w:r>
            <w:r>
              <w:t xml:space="preserve"> </w:t>
            </w:r>
            <w:r w:rsidRPr="000B23E3">
              <w:t>Energy and Fair Work</w:t>
            </w:r>
            <w:r>
              <w:t xml:space="preserve"> Committee</w:t>
            </w:r>
            <w:r w:rsidR="002F1BC2">
              <w:t>)</w:t>
            </w:r>
            <w:r>
              <w:t>.</w:t>
            </w:r>
          </w:p>
        </w:tc>
      </w:tr>
      <w:tr w:rsidR="000A15C0" w:rsidRPr="00470870" w14:paraId="2CCB81AE" w14:textId="77777777" w:rsidTr="00F575AD">
        <w:tc>
          <w:tcPr>
            <w:tcW w:w="2689" w:type="dxa"/>
          </w:tcPr>
          <w:p w14:paraId="76AE2B11" w14:textId="2B130B91" w:rsidR="000A15C0" w:rsidRPr="00470870" w:rsidRDefault="000A15C0" w:rsidP="0017552B">
            <w:pPr>
              <w:tabs>
                <w:tab w:val="left" w:pos="1200"/>
              </w:tabs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lastRenderedPageBreak/>
              <w:t>Common Financial Statement (CFS)</w:t>
            </w:r>
          </w:p>
        </w:tc>
        <w:tc>
          <w:tcPr>
            <w:tcW w:w="6327" w:type="dxa"/>
          </w:tcPr>
          <w:p w14:paraId="15E5D28F" w14:textId="77582016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The current statutory tool used to calculate a debtor’s contribution. Operated by the Money Advice Trust and available under license.</w:t>
            </w:r>
          </w:p>
        </w:tc>
      </w:tr>
      <w:tr w:rsidR="000A15C0" w:rsidRPr="00470870" w14:paraId="684C1420" w14:textId="77777777" w:rsidTr="00F575AD">
        <w:tc>
          <w:tcPr>
            <w:tcW w:w="2689" w:type="dxa"/>
          </w:tcPr>
          <w:p w14:paraId="66DF37FB" w14:textId="37F5298B" w:rsidR="000A15C0" w:rsidRPr="00470870" w:rsidRDefault="000A15C0" w:rsidP="0017552B">
            <w:pPr>
              <w:tabs>
                <w:tab w:val="left" w:pos="1200"/>
              </w:tabs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Common Financial Tool (CFT)</w:t>
            </w:r>
          </w:p>
        </w:tc>
        <w:tc>
          <w:tcPr>
            <w:tcW w:w="6327" w:type="dxa"/>
          </w:tcPr>
          <w:p w14:paraId="1759BA48" w14:textId="720BD49D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Tool used to assist in the calculation of a debtor’s contribution in all </w:t>
            </w:r>
            <w:r>
              <w:rPr>
                <w:rFonts w:cs="Arial"/>
                <w:szCs w:val="24"/>
              </w:rPr>
              <w:t xml:space="preserve">Scottish </w:t>
            </w:r>
            <w:r w:rsidRPr="00470870">
              <w:rPr>
                <w:rFonts w:cs="Arial"/>
                <w:szCs w:val="24"/>
              </w:rPr>
              <w:t xml:space="preserve">statutory debt solutions. </w:t>
            </w:r>
          </w:p>
        </w:tc>
      </w:tr>
      <w:tr w:rsidR="000A15C0" w:rsidRPr="00470870" w14:paraId="63A9BA18" w14:textId="77777777" w:rsidTr="00F575AD">
        <w:tc>
          <w:tcPr>
            <w:tcW w:w="2689" w:type="dxa"/>
          </w:tcPr>
          <w:p w14:paraId="49AD03C3" w14:textId="77777777" w:rsidR="000A15C0" w:rsidRPr="00470870" w:rsidRDefault="000A15C0" w:rsidP="0017552B">
            <w:pPr>
              <w:tabs>
                <w:tab w:val="left" w:pos="1200"/>
              </w:tabs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Confirmation</w:t>
            </w:r>
          </w:p>
        </w:tc>
        <w:tc>
          <w:tcPr>
            <w:tcW w:w="6327" w:type="dxa"/>
          </w:tcPr>
          <w:p w14:paraId="0C48E5EF" w14:textId="2E5A484F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The process that vests a deceased person</w:t>
            </w:r>
            <w:r>
              <w:rPr>
                <w:rFonts w:cs="Arial"/>
                <w:szCs w:val="24"/>
              </w:rPr>
              <w:t>’</w:t>
            </w:r>
            <w:r w:rsidRPr="00470870">
              <w:rPr>
                <w:rFonts w:cs="Arial"/>
                <w:szCs w:val="24"/>
              </w:rPr>
              <w:t>s estate in the executor to allow them to ingather and distribute the estate.</w:t>
            </w:r>
          </w:p>
        </w:tc>
      </w:tr>
      <w:tr w:rsidR="000A15C0" w:rsidRPr="00470870" w14:paraId="762930A3" w14:textId="77777777" w:rsidTr="00F575AD">
        <w:tc>
          <w:tcPr>
            <w:tcW w:w="2689" w:type="dxa"/>
          </w:tcPr>
          <w:p w14:paraId="0155145F" w14:textId="77777777" w:rsidR="000A15C0" w:rsidRPr="000A15C0" w:rsidRDefault="000A15C0" w:rsidP="0017552B">
            <w:pPr>
              <w:tabs>
                <w:tab w:val="left" w:pos="1200"/>
              </w:tabs>
              <w:rPr>
                <w:rFonts w:cs="Arial"/>
                <w:szCs w:val="24"/>
              </w:rPr>
            </w:pPr>
            <w:r w:rsidRPr="000A15C0">
              <w:rPr>
                <w:rFonts w:cs="Arial"/>
                <w:szCs w:val="24"/>
              </w:rPr>
              <w:t>Contractual rate of interest</w:t>
            </w:r>
          </w:p>
        </w:tc>
        <w:tc>
          <w:tcPr>
            <w:tcW w:w="6327" w:type="dxa"/>
          </w:tcPr>
          <w:p w14:paraId="3BACFB15" w14:textId="32E08299" w:rsidR="000A15C0" w:rsidRPr="0017552B" w:rsidRDefault="000A15C0" w:rsidP="0017552B">
            <w:r>
              <w:t>The rate of interest agreed between the parties when entering into a contractual transaction.</w:t>
            </w:r>
          </w:p>
        </w:tc>
      </w:tr>
      <w:tr w:rsidR="000A15C0" w:rsidRPr="00470870" w14:paraId="440DFE97" w14:textId="77777777" w:rsidTr="00F575AD">
        <w:tc>
          <w:tcPr>
            <w:tcW w:w="2689" w:type="dxa"/>
          </w:tcPr>
          <w:p w14:paraId="04FAA000" w14:textId="62402E97" w:rsidR="00F575AD" w:rsidRPr="000A15C0" w:rsidRDefault="000A15C0" w:rsidP="0017552B">
            <w:pPr>
              <w:rPr>
                <w:rFonts w:cs="Arial"/>
                <w:szCs w:val="24"/>
              </w:rPr>
            </w:pPr>
            <w:r w:rsidRPr="000A15C0">
              <w:rPr>
                <w:rFonts w:cs="Arial"/>
                <w:szCs w:val="24"/>
              </w:rPr>
              <w:t xml:space="preserve">Continuing Money Adviser </w:t>
            </w:r>
          </w:p>
        </w:tc>
        <w:tc>
          <w:tcPr>
            <w:tcW w:w="6327" w:type="dxa"/>
          </w:tcPr>
          <w:p w14:paraId="23245643" w14:textId="34593763" w:rsidR="0017552B" w:rsidRPr="00470870" w:rsidRDefault="000A15C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 adviser who supports and provides debt management advice to the debtor throughout the lifetime of the Debt Arrangement Scheme (DAS).</w:t>
            </w:r>
          </w:p>
        </w:tc>
      </w:tr>
      <w:tr w:rsidR="000A15C0" w:rsidRPr="00470870" w14:paraId="3FEF1C0E" w14:textId="77777777" w:rsidTr="00F575AD">
        <w:tc>
          <w:tcPr>
            <w:tcW w:w="2689" w:type="dxa"/>
          </w:tcPr>
          <w:p w14:paraId="67ECADCF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Contribution V</w:t>
            </w:r>
            <w:r w:rsidRPr="00470870">
              <w:rPr>
                <w:rFonts w:cs="Arial"/>
                <w:szCs w:val="24"/>
              </w:rPr>
              <w:t>ariation</w:t>
            </w:r>
          </w:p>
        </w:tc>
        <w:tc>
          <w:tcPr>
            <w:tcW w:w="6327" w:type="dxa"/>
          </w:tcPr>
          <w:p w14:paraId="6A79062F" w14:textId="6CE5824A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An application to increase</w:t>
            </w:r>
            <w:r>
              <w:rPr>
                <w:rFonts w:cs="Arial"/>
                <w:szCs w:val="24"/>
              </w:rPr>
              <w:t xml:space="preserve">, </w:t>
            </w:r>
            <w:r w:rsidRPr="00470870">
              <w:rPr>
                <w:rFonts w:cs="Arial"/>
                <w:szCs w:val="24"/>
              </w:rPr>
              <w:t>decrease</w:t>
            </w:r>
            <w:r>
              <w:rPr>
                <w:rFonts w:cs="Arial"/>
                <w:szCs w:val="24"/>
              </w:rPr>
              <w:t xml:space="preserve"> or quash </w:t>
            </w:r>
            <w:r w:rsidRPr="00470870">
              <w:rPr>
                <w:rFonts w:cs="Arial"/>
                <w:szCs w:val="24"/>
              </w:rPr>
              <w:t xml:space="preserve">the </w:t>
            </w:r>
            <w:r>
              <w:rPr>
                <w:rFonts w:cs="Arial"/>
                <w:szCs w:val="24"/>
              </w:rPr>
              <w:t>Debtor’s Contribution</w:t>
            </w:r>
            <w:r w:rsidRPr="00470870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Order (payment towards the bankruptcy from a bankrupt’s regular income and is based on the Common Financial Tool assessment).</w:t>
            </w:r>
          </w:p>
        </w:tc>
      </w:tr>
      <w:tr w:rsidR="000A15C0" w:rsidRPr="00470870" w14:paraId="6E0588C0" w14:textId="77777777" w:rsidTr="00F575AD">
        <w:tc>
          <w:tcPr>
            <w:tcW w:w="2689" w:type="dxa"/>
          </w:tcPr>
          <w:p w14:paraId="53141CE7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Creditor</w:t>
            </w:r>
          </w:p>
        </w:tc>
        <w:tc>
          <w:tcPr>
            <w:tcW w:w="6327" w:type="dxa"/>
          </w:tcPr>
          <w:p w14:paraId="7DDBA2E8" w14:textId="7EB76B4B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Any person, business or organisation which is owed money by another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0A15C0" w:rsidRPr="00470870" w14:paraId="528D5704" w14:textId="77777777" w:rsidTr="00F575AD">
        <w:tc>
          <w:tcPr>
            <w:tcW w:w="2689" w:type="dxa"/>
          </w:tcPr>
          <w:p w14:paraId="655C324C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Creditor </w:t>
            </w:r>
            <w:r>
              <w:rPr>
                <w:rFonts w:cs="Arial"/>
                <w:szCs w:val="24"/>
              </w:rPr>
              <w:t>P</w:t>
            </w:r>
            <w:r w:rsidRPr="00470870">
              <w:rPr>
                <w:rFonts w:cs="Arial"/>
                <w:szCs w:val="24"/>
              </w:rPr>
              <w:t>etition</w:t>
            </w:r>
          </w:p>
        </w:tc>
        <w:tc>
          <w:tcPr>
            <w:tcW w:w="6327" w:type="dxa"/>
          </w:tcPr>
          <w:p w14:paraId="0224A2FC" w14:textId="04E05D0F" w:rsidR="000A15C0" w:rsidRPr="00470870" w:rsidRDefault="000A15C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 application by a creditor, through the Court, for the bankruptcy of a debtor’s estate.  </w:t>
            </w:r>
          </w:p>
        </w:tc>
      </w:tr>
      <w:tr w:rsidR="000A15C0" w:rsidRPr="00470870" w14:paraId="65C1288D" w14:textId="77777777" w:rsidTr="00F575AD">
        <w:tc>
          <w:tcPr>
            <w:tcW w:w="2689" w:type="dxa"/>
          </w:tcPr>
          <w:p w14:paraId="13501A83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DAS Administrator</w:t>
            </w:r>
          </w:p>
        </w:tc>
        <w:tc>
          <w:tcPr>
            <w:tcW w:w="6327" w:type="dxa"/>
          </w:tcPr>
          <w:p w14:paraId="757A093C" w14:textId="2BACD8FC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The Accountant in Bankruptcy who oversees the Debt Arrangement Scheme</w:t>
            </w:r>
            <w:r>
              <w:rPr>
                <w:rFonts w:cs="Arial"/>
                <w:szCs w:val="24"/>
              </w:rPr>
              <w:t xml:space="preserve"> which includes responsibility for maintaining the Debt Arrangement Scheme Register and approves money advisers, payments distributors and Debt Payment Programmes</w:t>
            </w:r>
            <w:r w:rsidRPr="00470870">
              <w:rPr>
                <w:rFonts w:cs="Arial"/>
                <w:szCs w:val="24"/>
              </w:rPr>
              <w:t>.</w:t>
            </w:r>
          </w:p>
        </w:tc>
      </w:tr>
      <w:tr w:rsidR="000A15C0" w:rsidRPr="00470870" w14:paraId="2CFBD7AF" w14:textId="77777777" w:rsidTr="00F575AD">
        <w:tc>
          <w:tcPr>
            <w:tcW w:w="2689" w:type="dxa"/>
          </w:tcPr>
          <w:p w14:paraId="3E3D8D67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DAS R</w:t>
            </w:r>
            <w:r w:rsidRPr="00470870">
              <w:rPr>
                <w:rFonts w:cs="Arial"/>
                <w:szCs w:val="24"/>
              </w:rPr>
              <w:t>egister</w:t>
            </w:r>
          </w:p>
          <w:p w14:paraId="5A667CA3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</w:p>
        </w:tc>
        <w:tc>
          <w:tcPr>
            <w:tcW w:w="6327" w:type="dxa"/>
          </w:tcPr>
          <w:p w14:paraId="291886E5" w14:textId="5C2DF029" w:rsidR="000A15C0" w:rsidRPr="0017552B" w:rsidRDefault="000A15C0" w:rsidP="0017552B">
            <w:pPr>
              <w:rPr>
                <w:rFonts w:cs="Arial"/>
                <w:color w:val="000000"/>
                <w:szCs w:val="24"/>
              </w:rPr>
            </w:pPr>
            <w:r w:rsidRPr="00470870">
              <w:rPr>
                <w:rFonts w:cs="Arial"/>
                <w:color w:val="000000"/>
                <w:szCs w:val="24"/>
              </w:rPr>
              <w:t xml:space="preserve">An online public register which holds information about those intending to apply for, are applying for, and those who already have a </w:t>
            </w:r>
            <w:r>
              <w:rPr>
                <w:rFonts w:cs="Arial"/>
                <w:color w:val="000000"/>
                <w:szCs w:val="24"/>
              </w:rPr>
              <w:t>Debt P</w:t>
            </w:r>
            <w:r w:rsidRPr="00470870">
              <w:rPr>
                <w:rFonts w:cs="Arial"/>
                <w:color w:val="000000"/>
                <w:szCs w:val="24"/>
              </w:rPr>
              <w:t xml:space="preserve">ayment </w:t>
            </w:r>
            <w:r>
              <w:rPr>
                <w:rFonts w:cs="Arial"/>
                <w:color w:val="000000"/>
                <w:szCs w:val="24"/>
              </w:rPr>
              <w:t>P</w:t>
            </w:r>
            <w:r w:rsidRPr="00470870">
              <w:rPr>
                <w:rFonts w:cs="Arial"/>
                <w:color w:val="000000"/>
                <w:szCs w:val="24"/>
              </w:rPr>
              <w:t xml:space="preserve">rogramme under </w:t>
            </w:r>
            <w:r>
              <w:rPr>
                <w:rFonts w:cs="Arial"/>
                <w:color w:val="000000"/>
                <w:szCs w:val="24"/>
              </w:rPr>
              <w:t>a Debt Arrangement Scheme (</w:t>
            </w:r>
            <w:r w:rsidRPr="00470870">
              <w:rPr>
                <w:rFonts w:cs="Arial"/>
                <w:color w:val="000000"/>
                <w:szCs w:val="24"/>
              </w:rPr>
              <w:t>DAS</w:t>
            </w:r>
            <w:r>
              <w:rPr>
                <w:rFonts w:cs="Arial"/>
                <w:color w:val="000000"/>
                <w:szCs w:val="24"/>
              </w:rPr>
              <w:t>).</w:t>
            </w:r>
            <w:r w:rsidRPr="00470870">
              <w:rPr>
                <w:rFonts w:cs="Arial"/>
                <w:color w:val="000000"/>
                <w:szCs w:val="24"/>
              </w:rPr>
              <w:t> </w:t>
            </w:r>
          </w:p>
        </w:tc>
      </w:tr>
      <w:tr w:rsidR="000A15C0" w:rsidRPr="00470870" w14:paraId="6A2ACCE9" w14:textId="77777777" w:rsidTr="00F575AD">
        <w:tc>
          <w:tcPr>
            <w:tcW w:w="2689" w:type="dxa"/>
          </w:tcPr>
          <w:p w14:paraId="548E1BE8" w14:textId="30216DF8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lastRenderedPageBreak/>
              <w:t xml:space="preserve">Debt Advice and Information Package </w:t>
            </w:r>
          </w:p>
          <w:p w14:paraId="6AD16A1F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</w:p>
        </w:tc>
        <w:tc>
          <w:tcPr>
            <w:tcW w:w="6327" w:type="dxa"/>
          </w:tcPr>
          <w:p w14:paraId="1BF391BD" w14:textId="535B48EF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A booklet providing </w:t>
            </w:r>
            <w:r>
              <w:rPr>
                <w:rFonts w:cs="Arial"/>
                <w:szCs w:val="24"/>
              </w:rPr>
              <w:t xml:space="preserve">important </w:t>
            </w:r>
            <w:r w:rsidRPr="00470870">
              <w:rPr>
                <w:rFonts w:cs="Arial"/>
                <w:szCs w:val="24"/>
              </w:rPr>
              <w:t xml:space="preserve">information for </w:t>
            </w:r>
            <w:r>
              <w:rPr>
                <w:rFonts w:cs="Arial"/>
                <w:szCs w:val="24"/>
              </w:rPr>
              <w:t>debtors</w:t>
            </w:r>
            <w:r w:rsidRPr="00470870">
              <w:rPr>
                <w:rFonts w:cs="Arial"/>
                <w:szCs w:val="24"/>
              </w:rPr>
              <w:t xml:space="preserve"> to </w:t>
            </w:r>
            <w:r>
              <w:rPr>
                <w:rFonts w:cs="Arial"/>
                <w:szCs w:val="24"/>
              </w:rPr>
              <w:t xml:space="preserve">advise that a creditor is going to take action to recover a debt, what steps to take and where to get advice. </w:t>
            </w:r>
            <w:r w:rsidRPr="00470870">
              <w:rPr>
                <w:rFonts w:cs="Arial"/>
                <w:szCs w:val="24"/>
              </w:rPr>
              <w:t>A creditor is required by law to provide an individual with a D</w:t>
            </w:r>
            <w:r w:rsidR="002F0A3D">
              <w:rPr>
                <w:rFonts w:cs="Arial"/>
                <w:szCs w:val="24"/>
              </w:rPr>
              <w:t xml:space="preserve">ebt </w:t>
            </w:r>
            <w:r w:rsidRPr="00470870">
              <w:rPr>
                <w:rFonts w:cs="Arial"/>
                <w:szCs w:val="24"/>
              </w:rPr>
              <w:t>A</w:t>
            </w:r>
            <w:r w:rsidR="002F0A3D">
              <w:rPr>
                <w:rFonts w:cs="Arial"/>
                <w:szCs w:val="24"/>
              </w:rPr>
              <w:t xml:space="preserve">dvice </w:t>
            </w:r>
            <w:r w:rsidRPr="00470870">
              <w:rPr>
                <w:rFonts w:cs="Arial"/>
                <w:szCs w:val="24"/>
              </w:rPr>
              <w:t>I</w:t>
            </w:r>
            <w:r w:rsidR="002F0A3D">
              <w:rPr>
                <w:rFonts w:cs="Arial"/>
                <w:szCs w:val="24"/>
              </w:rPr>
              <w:t xml:space="preserve">nformation </w:t>
            </w:r>
            <w:r w:rsidRPr="00470870">
              <w:rPr>
                <w:rFonts w:cs="Arial"/>
                <w:szCs w:val="24"/>
              </w:rPr>
              <w:t>P</w:t>
            </w:r>
            <w:r w:rsidR="002F0A3D">
              <w:rPr>
                <w:rFonts w:cs="Arial"/>
                <w:szCs w:val="24"/>
              </w:rPr>
              <w:t>ackage</w:t>
            </w:r>
            <w:r w:rsidRPr="00470870">
              <w:rPr>
                <w:rFonts w:cs="Arial"/>
                <w:szCs w:val="24"/>
              </w:rPr>
              <w:t xml:space="preserve"> prior to using most types of diligence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0A15C0" w:rsidRPr="00470870" w14:paraId="21450A35" w14:textId="77777777" w:rsidTr="00F575AD">
        <w:tc>
          <w:tcPr>
            <w:tcW w:w="2689" w:type="dxa"/>
          </w:tcPr>
          <w:p w14:paraId="0703EAE7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Debt Arrangement Scheme (DAS)</w:t>
            </w:r>
          </w:p>
        </w:tc>
        <w:tc>
          <w:tcPr>
            <w:tcW w:w="6327" w:type="dxa"/>
          </w:tcPr>
          <w:p w14:paraId="7D5AD908" w14:textId="6EAB3B0B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A </w:t>
            </w:r>
            <w:r w:rsidR="005D1454">
              <w:rPr>
                <w:rFonts w:cs="Arial"/>
                <w:szCs w:val="24"/>
              </w:rPr>
              <w:t xml:space="preserve">statutory </w:t>
            </w:r>
            <w:r w:rsidRPr="00470870">
              <w:rPr>
                <w:rFonts w:cs="Arial"/>
                <w:szCs w:val="24"/>
              </w:rPr>
              <w:t xml:space="preserve">debt management </w:t>
            </w:r>
            <w:r>
              <w:rPr>
                <w:rFonts w:cs="Arial"/>
                <w:szCs w:val="24"/>
              </w:rPr>
              <w:t>plan</w:t>
            </w:r>
            <w:r w:rsidRPr="00470870">
              <w:rPr>
                <w:rFonts w:cs="Arial"/>
                <w:szCs w:val="24"/>
              </w:rPr>
              <w:t xml:space="preserve"> accessed through an approved money adviser. It may help </w:t>
            </w:r>
            <w:r>
              <w:rPr>
                <w:rFonts w:cs="Arial"/>
                <w:szCs w:val="24"/>
              </w:rPr>
              <w:t xml:space="preserve">debtors who have </w:t>
            </w:r>
            <w:r w:rsidRPr="00470870">
              <w:rPr>
                <w:rFonts w:cs="Arial"/>
                <w:szCs w:val="24"/>
              </w:rPr>
              <w:t xml:space="preserve">one or more debts and want to pay what </w:t>
            </w:r>
            <w:r>
              <w:rPr>
                <w:rFonts w:cs="Arial"/>
                <w:szCs w:val="24"/>
              </w:rPr>
              <w:t>they</w:t>
            </w:r>
            <w:r w:rsidRPr="00470870">
              <w:rPr>
                <w:rFonts w:cs="Arial"/>
                <w:szCs w:val="24"/>
              </w:rPr>
              <w:t xml:space="preserve"> owe </w:t>
            </w:r>
            <w:r>
              <w:rPr>
                <w:rFonts w:cs="Arial"/>
                <w:szCs w:val="24"/>
              </w:rPr>
              <w:t xml:space="preserve">over an extended period of time, </w:t>
            </w:r>
            <w:r w:rsidRPr="00470870">
              <w:rPr>
                <w:rFonts w:cs="Arial"/>
                <w:szCs w:val="24"/>
              </w:rPr>
              <w:t>free from the threat of enforcement</w:t>
            </w:r>
            <w:r>
              <w:rPr>
                <w:rFonts w:cs="Arial"/>
                <w:szCs w:val="24"/>
              </w:rPr>
              <w:t xml:space="preserve"> action by creditors through </w:t>
            </w:r>
            <w:r w:rsidRPr="00470870">
              <w:rPr>
                <w:rFonts w:cs="Arial"/>
                <w:szCs w:val="24"/>
              </w:rPr>
              <w:t>dilige</w:t>
            </w:r>
            <w:r>
              <w:rPr>
                <w:rFonts w:cs="Arial"/>
                <w:szCs w:val="24"/>
              </w:rPr>
              <w:t>nce</w:t>
            </w:r>
            <w:r w:rsidRPr="00470870">
              <w:rPr>
                <w:rFonts w:cs="Arial"/>
                <w:szCs w:val="24"/>
              </w:rPr>
              <w:t xml:space="preserve"> or bankruptcy. </w:t>
            </w:r>
          </w:p>
        </w:tc>
      </w:tr>
      <w:tr w:rsidR="000A15C0" w:rsidRPr="00470870" w14:paraId="7E5CCFD4" w14:textId="77777777" w:rsidTr="00F575AD">
        <w:tc>
          <w:tcPr>
            <w:tcW w:w="2689" w:type="dxa"/>
          </w:tcPr>
          <w:p w14:paraId="70A5684B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DAS Debt Payment Programme (DPP)</w:t>
            </w:r>
          </w:p>
        </w:tc>
        <w:tc>
          <w:tcPr>
            <w:tcW w:w="6327" w:type="dxa"/>
          </w:tcPr>
          <w:p w14:paraId="348F73DE" w14:textId="144E7DE3" w:rsidR="000E522A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A proposal</w:t>
            </w:r>
            <w:r>
              <w:rPr>
                <w:rFonts w:cs="Arial"/>
                <w:szCs w:val="24"/>
              </w:rPr>
              <w:t xml:space="preserve"> under </w:t>
            </w:r>
            <w:r w:rsidR="000E522A">
              <w:rPr>
                <w:rFonts w:cs="Arial"/>
                <w:szCs w:val="24"/>
              </w:rPr>
              <w:t>the Debt Arrangement Scheme (</w:t>
            </w:r>
            <w:r>
              <w:rPr>
                <w:rFonts w:cs="Arial"/>
                <w:szCs w:val="24"/>
              </w:rPr>
              <w:t>DAS</w:t>
            </w:r>
            <w:r w:rsidR="000E522A">
              <w:rPr>
                <w:rFonts w:cs="Arial"/>
                <w:szCs w:val="24"/>
              </w:rPr>
              <w:t>)</w:t>
            </w:r>
            <w:r w:rsidRPr="00470870">
              <w:rPr>
                <w:rFonts w:cs="Arial"/>
                <w:szCs w:val="24"/>
              </w:rPr>
              <w:t xml:space="preserve"> that allows a debtor to pay their debt over an extended period of time. The DPP can be for any amount of money or for any reasonable length of time.</w:t>
            </w:r>
          </w:p>
        </w:tc>
      </w:tr>
      <w:tr w:rsidR="000A15C0" w:rsidRPr="00470870" w14:paraId="11B4FDF9" w14:textId="77777777" w:rsidTr="00F575AD">
        <w:tc>
          <w:tcPr>
            <w:tcW w:w="2689" w:type="dxa"/>
          </w:tcPr>
          <w:p w14:paraId="499E0375" w14:textId="77777777" w:rsidR="000A15C0" w:rsidRPr="00470870" w:rsidRDefault="000E522A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Debt P</w:t>
            </w:r>
            <w:r w:rsidR="000A15C0" w:rsidRPr="00470870">
              <w:rPr>
                <w:rFonts w:cs="Arial"/>
                <w:szCs w:val="24"/>
              </w:rPr>
              <w:t>ackager</w:t>
            </w:r>
            <w:r w:rsidR="000A15C0">
              <w:rPr>
                <w:rFonts w:cs="Arial"/>
                <w:szCs w:val="24"/>
              </w:rPr>
              <w:t xml:space="preserve"> </w:t>
            </w:r>
          </w:p>
          <w:p w14:paraId="4DF77AB1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</w:p>
        </w:tc>
        <w:tc>
          <w:tcPr>
            <w:tcW w:w="6327" w:type="dxa"/>
          </w:tcPr>
          <w:p w14:paraId="43543D00" w14:textId="5200568F" w:rsidR="000E522A" w:rsidRPr="00470870" w:rsidRDefault="000A15C0" w:rsidP="009406BF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Commercial </w:t>
            </w:r>
            <w:r w:rsidR="000E522A">
              <w:rPr>
                <w:rFonts w:cs="Arial"/>
                <w:szCs w:val="24"/>
              </w:rPr>
              <w:t>business</w:t>
            </w:r>
            <w:r w:rsidRPr="00470870">
              <w:rPr>
                <w:rFonts w:cs="Arial"/>
                <w:szCs w:val="24"/>
              </w:rPr>
              <w:t xml:space="preserve"> that provide</w:t>
            </w:r>
            <w:r>
              <w:rPr>
                <w:rFonts w:cs="Arial"/>
                <w:szCs w:val="24"/>
              </w:rPr>
              <w:t>s</w:t>
            </w:r>
            <w:r w:rsidRPr="00470870">
              <w:rPr>
                <w:rFonts w:cs="Arial"/>
                <w:szCs w:val="24"/>
              </w:rPr>
              <w:t xml:space="preserve"> debt advice and generate</w:t>
            </w:r>
            <w:r>
              <w:rPr>
                <w:rFonts w:cs="Arial"/>
                <w:szCs w:val="24"/>
              </w:rPr>
              <w:t>s</w:t>
            </w:r>
            <w:r w:rsidRPr="00470870">
              <w:rPr>
                <w:rFonts w:cs="Arial"/>
                <w:szCs w:val="24"/>
              </w:rPr>
              <w:t xml:space="preserve"> income by referring customers to debt solution</w:t>
            </w:r>
            <w:r w:rsidR="000E522A">
              <w:rPr>
                <w:rFonts w:cs="Arial"/>
                <w:szCs w:val="24"/>
              </w:rPr>
              <w:t xml:space="preserve"> providers and receiving a fee.</w:t>
            </w:r>
            <w:r w:rsidR="009406BF">
              <w:rPr>
                <w:rFonts w:cs="Arial"/>
                <w:szCs w:val="24"/>
              </w:rPr>
              <w:t xml:space="preserve"> Debt Packagers must be approved by the Financial Conduct Authority. </w:t>
            </w:r>
          </w:p>
        </w:tc>
      </w:tr>
      <w:tr w:rsidR="000A15C0" w:rsidRPr="00470870" w14:paraId="28C9723E" w14:textId="77777777" w:rsidTr="00F575AD">
        <w:tc>
          <w:tcPr>
            <w:tcW w:w="2689" w:type="dxa"/>
          </w:tcPr>
          <w:p w14:paraId="677FEC2E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Debtor</w:t>
            </w:r>
          </w:p>
        </w:tc>
        <w:tc>
          <w:tcPr>
            <w:tcW w:w="6327" w:type="dxa"/>
          </w:tcPr>
          <w:p w14:paraId="2DC2E49F" w14:textId="67E4ABCE" w:rsidR="000E522A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Any person who owes money to another.</w:t>
            </w:r>
          </w:p>
        </w:tc>
      </w:tr>
      <w:tr w:rsidR="000A15C0" w:rsidRPr="00470870" w14:paraId="216F9CC8" w14:textId="77777777" w:rsidTr="00F575AD">
        <w:tc>
          <w:tcPr>
            <w:tcW w:w="2689" w:type="dxa"/>
          </w:tcPr>
          <w:p w14:paraId="53307D21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Debtor application</w:t>
            </w:r>
          </w:p>
        </w:tc>
        <w:tc>
          <w:tcPr>
            <w:tcW w:w="6327" w:type="dxa"/>
          </w:tcPr>
          <w:p w14:paraId="752EDA0A" w14:textId="4613F3FF" w:rsidR="000E522A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When a person applies for their own bankruptcy</w:t>
            </w:r>
            <w:r w:rsidR="000E522A">
              <w:rPr>
                <w:rFonts w:cs="Arial"/>
                <w:szCs w:val="24"/>
              </w:rPr>
              <w:t>.</w:t>
            </w:r>
          </w:p>
        </w:tc>
      </w:tr>
      <w:tr w:rsidR="000A15C0" w:rsidRPr="00470870" w14:paraId="52DDD220" w14:textId="77777777" w:rsidTr="00F575AD">
        <w:tc>
          <w:tcPr>
            <w:tcW w:w="2689" w:type="dxa"/>
          </w:tcPr>
          <w:p w14:paraId="51DE74E7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Debtor Contribution Order (DCO)</w:t>
            </w:r>
          </w:p>
        </w:tc>
        <w:tc>
          <w:tcPr>
            <w:tcW w:w="6327" w:type="dxa"/>
          </w:tcPr>
          <w:p w14:paraId="1975AF96" w14:textId="4E858723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The fixed amount a debtor pays in contributions towards their bankruptcy usually over a 48 month period. This is set by the trustee.</w:t>
            </w:r>
          </w:p>
        </w:tc>
      </w:tr>
      <w:tr w:rsidR="000A15C0" w:rsidRPr="00470870" w14:paraId="5267942C" w14:textId="77777777" w:rsidTr="00F575AD">
        <w:tc>
          <w:tcPr>
            <w:tcW w:w="2689" w:type="dxa"/>
          </w:tcPr>
          <w:p w14:paraId="136CE08F" w14:textId="5CEDC8AB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Debtor discharge</w:t>
            </w:r>
          </w:p>
        </w:tc>
        <w:tc>
          <w:tcPr>
            <w:tcW w:w="6327" w:type="dxa"/>
          </w:tcPr>
          <w:p w14:paraId="48E348AB" w14:textId="40341BA3" w:rsidR="000E522A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The date that the debtor is formally discharged from their bankruptcy</w:t>
            </w:r>
            <w:r>
              <w:rPr>
                <w:rFonts w:cs="Arial"/>
                <w:szCs w:val="24"/>
              </w:rPr>
              <w:t xml:space="preserve"> or </w:t>
            </w:r>
            <w:r w:rsidR="000E522A">
              <w:rPr>
                <w:rFonts w:cs="Arial"/>
                <w:szCs w:val="24"/>
              </w:rPr>
              <w:t>Protected Trust Deed (</w:t>
            </w:r>
            <w:r>
              <w:rPr>
                <w:rFonts w:cs="Arial"/>
                <w:szCs w:val="24"/>
              </w:rPr>
              <w:t>PTD</w:t>
            </w:r>
            <w:r w:rsidR="000E522A">
              <w:rPr>
                <w:rFonts w:cs="Arial"/>
                <w:szCs w:val="24"/>
              </w:rPr>
              <w:t>)</w:t>
            </w:r>
            <w:r w:rsidRPr="00470870">
              <w:rPr>
                <w:rFonts w:cs="Arial"/>
                <w:szCs w:val="24"/>
              </w:rPr>
              <w:t>.</w:t>
            </w:r>
          </w:p>
        </w:tc>
      </w:tr>
      <w:tr w:rsidR="000A15C0" w:rsidRPr="00470870" w14:paraId="1F3EB6A4" w14:textId="77777777" w:rsidTr="00F575AD">
        <w:tc>
          <w:tcPr>
            <w:tcW w:w="2689" w:type="dxa"/>
          </w:tcPr>
          <w:p w14:paraId="6AAC43D5" w14:textId="77777777" w:rsidR="000A15C0" w:rsidRPr="00470870" w:rsidDel="00866B5C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Debt Relief Order</w:t>
            </w:r>
          </w:p>
        </w:tc>
        <w:tc>
          <w:tcPr>
            <w:tcW w:w="6327" w:type="dxa"/>
          </w:tcPr>
          <w:p w14:paraId="0FA3F019" w14:textId="48A7FC06" w:rsidR="000E522A" w:rsidRPr="00470870" w:rsidRDefault="000A15C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Nearest equivalent to MAP bankruptcy in England and Wales. </w:t>
            </w:r>
          </w:p>
        </w:tc>
      </w:tr>
      <w:tr w:rsidR="000A15C0" w:rsidRPr="00470870" w14:paraId="47A00556" w14:textId="77777777" w:rsidTr="00F575AD">
        <w:tc>
          <w:tcPr>
            <w:tcW w:w="2689" w:type="dxa"/>
          </w:tcPr>
          <w:p w14:paraId="43F176F6" w14:textId="77777777" w:rsidR="000A15C0" w:rsidRPr="00470870" w:rsidDel="00866B5C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lastRenderedPageBreak/>
              <w:t>Debt Repayment Solution</w:t>
            </w:r>
          </w:p>
        </w:tc>
        <w:tc>
          <w:tcPr>
            <w:tcW w:w="6327" w:type="dxa"/>
          </w:tcPr>
          <w:p w14:paraId="052716BD" w14:textId="285ECE27" w:rsidR="000E522A" w:rsidRPr="00470870" w:rsidRDefault="000E522A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 solution which allows debt to be repaid over a period of time e.g. Debt Arrangement Scheme (DAS). </w:t>
            </w:r>
          </w:p>
        </w:tc>
      </w:tr>
      <w:tr w:rsidR="000A15C0" w:rsidRPr="00470870" w14:paraId="68B7ABE9" w14:textId="77777777" w:rsidTr="00F575AD">
        <w:tc>
          <w:tcPr>
            <w:tcW w:w="2689" w:type="dxa"/>
          </w:tcPr>
          <w:p w14:paraId="60F98251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Debt Respite Scheme (Breathing Space)</w:t>
            </w:r>
          </w:p>
          <w:p w14:paraId="5F09419A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</w:p>
        </w:tc>
        <w:tc>
          <w:tcPr>
            <w:tcW w:w="6327" w:type="dxa"/>
          </w:tcPr>
          <w:p w14:paraId="438F3A2D" w14:textId="6932307C" w:rsidR="000E522A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A UK Government scheme</w:t>
            </w:r>
            <w:r w:rsidR="000E522A">
              <w:rPr>
                <w:rFonts w:cs="Arial"/>
                <w:szCs w:val="24"/>
              </w:rPr>
              <w:t xml:space="preserve"> (for England and Wales)</w:t>
            </w:r>
            <w:r w:rsidRPr="00470870">
              <w:rPr>
                <w:rFonts w:cs="Arial"/>
                <w:szCs w:val="24"/>
              </w:rPr>
              <w:t xml:space="preserve"> that provides individuals with problem debt with legal protection from creditor action. Similar to the moratorium in Scotland. </w:t>
            </w:r>
          </w:p>
        </w:tc>
      </w:tr>
      <w:tr w:rsidR="000A15C0" w:rsidRPr="00470870" w14:paraId="04507DC0" w14:textId="77777777" w:rsidTr="00F575AD">
        <w:tc>
          <w:tcPr>
            <w:tcW w:w="2689" w:type="dxa"/>
          </w:tcPr>
          <w:p w14:paraId="7A89EC42" w14:textId="3927BE02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Diligence</w:t>
            </w:r>
          </w:p>
        </w:tc>
        <w:tc>
          <w:tcPr>
            <w:tcW w:w="6327" w:type="dxa"/>
          </w:tcPr>
          <w:p w14:paraId="72CED865" w14:textId="7FCCA736" w:rsidR="000E522A" w:rsidRPr="0017552B" w:rsidRDefault="000A15C0" w:rsidP="0017552B">
            <w:pPr>
              <w:rPr>
                <w:rFonts w:cs="Arial"/>
                <w:color w:val="000000"/>
                <w:szCs w:val="24"/>
              </w:rPr>
            </w:pPr>
            <w:r w:rsidRPr="00470870">
              <w:rPr>
                <w:rFonts w:cs="Arial"/>
                <w:color w:val="000000"/>
                <w:szCs w:val="24"/>
              </w:rPr>
              <w:t>Various forms of legal process taken by creditors to enforce repayment of overdue debts</w:t>
            </w:r>
            <w:r w:rsidR="000E522A">
              <w:rPr>
                <w:rFonts w:cs="Arial"/>
                <w:color w:val="000000"/>
                <w:szCs w:val="24"/>
              </w:rPr>
              <w:t>.</w:t>
            </w:r>
          </w:p>
        </w:tc>
      </w:tr>
      <w:tr w:rsidR="000A15C0" w:rsidRPr="00470870" w14:paraId="043F8B25" w14:textId="77777777" w:rsidTr="00F575AD">
        <w:tc>
          <w:tcPr>
            <w:tcW w:w="2689" w:type="dxa"/>
          </w:tcPr>
          <w:p w14:paraId="345B13F3" w14:textId="66FA8A80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Direct Earnings Attachment</w:t>
            </w:r>
          </w:p>
        </w:tc>
        <w:tc>
          <w:tcPr>
            <w:tcW w:w="6327" w:type="dxa"/>
          </w:tcPr>
          <w:p w14:paraId="4FC64485" w14:textId="473CDC29" w:rsidR="000E522A" w:rsidRPr="00470870" w:rsidRDefault="000E522A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 deduction from a debtor’s wages to repay an overpayment of social security benefit or tax credit. This is not a form of diligence. </w:t>
            </w:r>
          </w:p>
        </w:tc>
      </w:tr>
      <w:tr w:rsidR="000A15C0" w:rsidRPr="00470870" w14:paraId="29C50528" w14:textId="77777777" w:rsidTr="00F575AD">
        <w:tc>
          <w:tcPr>
            <w:tcW w:w="2689" w:type="dxa"/>
          </w:tcPr>
          <w:p w14:paraId="1B314A6A" w14:textId="42E6516F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Diligence against Earnings tables</w:t>
            </w:r>
          </w:p>
        </w:tc>
        <w:tc>
          <w:tcPr>
            <w:tcW w:w="6327" w:type="dxa"/>
          </w:tcPr>
          <w:p w14:paraId="4D0090EF" w14:textId="6C1A2440" w:rsidR="007F4929" w:rsidRPr="00470870" w:rsidRDefault="007F4929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deduction from a debtor’s wages to recover a debt(s) or a child maintenance arrestment. This is a form of diligence.</w:t>
            </w:r>
          </w:p>
        </w:tc>
      </w:tr>
      <w:tr w:rsidR="000A15C0" w:rsidRPr="00470870" w14:paraId="35352126" w14:textId="77777777" w:rsidTr="00F575AD">
        <w:tc>
          <w:tcPr>
            <w:tcW w:w="2689" w:type="dxa"/>
          </w:tcPr>
          <w:p w14:paraId="33E4C70B" w14:textId="5A1848A1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Dividend</w:t>
            </w:r>
          </w:p>
        </w:tc>
        <w:tc>
          <w:tcPr>
            <w:tcW w:w="6327" w:type="dxa"/>
          </w:tcPr>
          <w:p w14:paraId="6AB4CD4E" w14:textId="5B590F41" w:rsidR="007F4929" w:rsidRPr="0017552B" w:rsidRDefault="000A15C0" w:rsidP="0017552B">
            <w:pPr>
              <w:rPr>
                <w:rFonts w:cs="Arial"/>
                <w:color w:val="000000"/>
                <w:szCs w:val="24"/>
              </w:rPr>
            </w:pPr>
            <w:r w:rsidRPr="00470870">
              <w:rPr>
                <w:rFonts w:cs="Arial"/>
                <w:color w:val="000000"/>
                <w:szCs w:val="24"/>
              </w:rPr>
              <w:t>The distribution of funds to creditors in a bankruptcy.</w:t>
            </w:r>
            <w:r w:rsidR="007F4929">
              <w:rPr>
                <w:rFonts w:cs="Arial"/>
                <w:color w:val="000000"/>
                <w:szCs w:val="24"/>
              </w:rPr>
              <w:t xml:space="preserve"> This could repay the debt in full or in part.</w:t>
            </w:r>
          </w:p>
        </w:tc>
      </w:tr>
      <w:tr w:rsidR="00EC67D5" w:rsidRPr="00470870" w14:paraId="40DA7672" w14:textId="77777777" w:rsidTr="00F575AD">
        <w:tc>
          <w:tcPr>
            <w:tcW w:w="2689" w:type="dxa"/>
          </w:tcPr>
          <w:p w14:paraId="659C3FBE" w14:textId="32B9657B" w:rsidR="00EC67D5" w:rsidRPr="00470870" w:rsidRDefault="00EC67D5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Estate</w:t>
            </w:r>
          </w:p>
        </w:tc>
        <w:tc>
          <w:tcPr>
            <w:tcW w:w="6327" w:type="dxa"/>
          </w:tcPr>
          <w:p w14:paraId="36464539" w14:textId="465D1AD5" w:rsidR="00EC67D5" w:rsidRPr="00470870" w:rsidRDefault="00EC67D5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Everything of value owned by the debtor, including assets and any rights they may have to receive money or goods from anyone else. </w:t>
            </w:r>
          </w:p>
        </w:tc>
      </w:tr>
      <w:tr w:rsidR="000A15C0" w:rsidRPr="00470870" w14:paraId="2C05C496" w14:textId="77777777" w:rsidTr="00F575AD">
        <w:tc>
          <w:tcPr>
            <w:tcW w:w="2689" w:type="dxa"/>
          </w:tcPr>
          <w:p w14:paraId="5245734A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Full Administration </w:t>
            </w:r>
            <w:r>
              <w:rPr>
                <w:rFonts w:cs="Arial"/>
                <w:szCs w:val="24"/>
              </w:rPr>
              <w:t>Bankruptcy</w:t>
            </w:r>
          </w:p>
        </w:tc>
        <w:tc>
          <w:tcPr>
            <w:tcW w:w="6327" w:type="dxa"/>
          </w:tcPr>
          <w:p w14:paraId="4D64B878" w14:textId="7C54CA89" w:rsidR="007F4929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A</w:t>
            </w:r>
            <w:r w:rsidR="007F4929">
              <w:rPr>
                <w:rFonts w:cs="Arial"/>
                <w:szCs w:val="24"/>
              </w:rPr>
              <w:t xml:space="preserve"> form of bankruptcy where a debtor has assets valued at more than £2,000 and debts of more than £3,000. </w:t>
            </w:r>
          </w:p>
        </w:tc>
      </w:tr>
      <w:tr w:rsidR="000A15C0" w:rsidRPr="00470870" w14:paraId="3A9AB838" w14:textId="77777777" w:rsidTr="00F575AD">
        <w:tc>
          <w:tcPr>
            <w:tcW w:w="2689" w:type="dxa"/>
          </w:tcPr>
          <w:p w14:paraId="27484415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Insolvency</w:t>
            </w:r>
          </w:p>
        </w:tc>
        <w:tc>
          <w:tcPr>
            <w:tcW w:w="6327" w:type="dxa"/>
          </w:tcPr>
          <w:p w14:paraId="1A689EA4" w14:textId="3831A3BD" w:rsidR="007F4929" w:rsidRPr="00470870" w:rsidRDefault="007F4929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 state in which a person or business is unable to pay their debts. </w:t>
            </w:r>
          </w:p>
        </w:tc>
      </w:tr>
      <w:tr w:rsidR="000A15C0" w:rsidRPr="00470870" w14:paraId="085A3B17" w14:textId="77777777" w:rsidTr="00F575AD">
        <w:tc>
          <w:tcPr>
            <w:tcW w:w="2689" w:type="dxa"/>
          </w:tcPr>
          <w:p w14:paraId="5C9A107D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Insolvency Practitioner </w:t>
            </w:r>
          </w:p>
        </w:tc>
        <w:tc>
          <w:tcPr>
            <w:tcW w:w="6327" w:type="dxa"/>
          </w:tcPr>
          <w:p w14:paraId="1D776494" w14:textId="46B81D42" w:rsidR="007F4929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A person licensed and au</w:t>
            </w:r>
            <w:r w:rsidR="007F4929">
              <w:rPr>
                <w:rFonts w:cs="Arial"/>
                <w:szCs w:val="24"/>
              </w:rPr>
              <w:t xml:space="preserve">thorised to act as a trustee in </w:t>
            </w:r>
            <w:r w:rsidRPr="00470870">
              <w:rPr>
                <w:rFonts w:cs="Arial"/>
                <w:szCs w:val="24"/>
              </w:rPr>
              <w:t>bankruptcies and also as a liquidator, administrator, or receiver of a limited company.</w:t>
            </w:r>
          </w:p>
        </w:tc>
      </w:tr>
      <w:tr w:rsidR="000A15C0" w:rsidRPr="00470870" w14:paraId="44E325A0" w14:textId="77777777" w:rsidTr="00F575AD">
        <w:tc>
          <w:tcPr>
            <w:tcW w:w="2689" w:type="dxa"/>
          </w:tcPr>
          <w:p w14:paraId="0899931D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Judicial rate of interest</w:t>
            </w:r>
          </w:p>
        </w:tc>
        <w:tc>
          <w:tcPr>
            <w:tcW w:w="6327" w:type="dxa"/>
          </w:tcPr>
          <w:p w14:paraId="06AD6407" w14:textId="78ECE5A1" w:rsidR="00B00EF3" w:rsidRPr="0017552B" w:rsidRDefault="000A15C0" w:rsidP="0017552B">
            <w:r>
              <w:t>Where a court decree for payment includes interest or states that interest is payable.</w:t>
            </w:r>
          </w:p>
        </w:tc>
      </w:tr>
      <w:tr w:rsidR="000A15C0" w:rsidRPr="00470870" w14:paraId="4B8B5D7E" w14:textId="77777777" w:rsidTr="00F575AD">
        <w:tc>
          <w:tcPr>
            <w:tcW w:w="2689" w:type="dxa"/>
          </w:tcPr>
          <w:p w14:paraId="59275718" w14:textId="6F7BDB29" w:rsidR="000A15C0" w:rsidRPr="00470870" w:rsidRDefault="007F4929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Lead G</w:t>
            </w:r>
            <w:r w:rsidR="000A15C0" w:rsidRPr="00470870">
              <w:rPr>
                <w:rFonts w:cs="Arial"/>
                <w:szCs w:val="24"/>
              </w:rPr>
              <w:t>enerator</w:t>
            </w:r>
          </w:p>
          <w:p w14:paraId="55452A1B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</w:p>
        </w:tc>
        <w:tc>
          <w:tcPr>
            <w:tcW w:w="6327" w:type="dxa"/>
          </w:tcPr>
          <w:p w14:paraId="596D2759" w14:textId="249D9941" w:rsidR="007F4929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Commercial firm that generate</w:t>
            </w:r>
            <w:r w:rsidR="007F4929">
              <w:rPr>
                <w:rFonts w:cs="Arial"/>
                <w:szCs w:val="24"/>
              </w:rPr>
              <w:t>s</w:t>
            </w:r>
            <w:r w:rsidRPr="00470870">
              <w:rPr>
                <w:rFonts w:cs="Arial"/>
                <w:szCs w:val="24"/>
              </w:rPr>
              <w:t xml:space="preserve"> income by referring customers to debt solution providers and receiv</w:t>
            </w:r>
            <w:r w:rsidR="007F4929">
              <w:rPr>
                <w:rFonts w:cs="Arial"/>
                <w:szCs w:val="24"/>
              </w:rPr>
              <w:t xml:space="preserve">es </w:t>
            </w:r>
            <w:r w:rsidRPr="00470870">
              <w:rPr>
                <w:rFonts w:cs="Arial"/>
                <w:szCs w:val="24"/>
              </w:rPr>
              <w:t>a fee.</w:t>
            </w:r>
            <w:r w:rsidR="009406BF">
              <w:rPr>
                <w:rFonts w:cs="Arial"/>
                <w:szCs w:val="24"/>
              </w:rPr>
              <w:t xml:space="preserve"> </w:t>
            </w:r>
            <w:r w:rsidR="009406BF">
              <w:rPr>
                <w:rFonts w:cs="Arial"/>
                <w:szCs w:val="24"/>
              </w:rPr>
              <w:lastRenderedPageBreak/>
              <w:t xml:space="preserve">Lead generators are not approved by the Financial Conduct Authority therefore they cannot provide debt advice. </w:t>
            </w:r>
          </w:p>
        </w:tc>
      </w:tr>
      <w:tr w:rsidR="000A15C0" w:rsidRPr="00470870" w14:paraId="47C2860F" w14:textId="77777777" w:rsidTr="00F575AD">
        <w:tc>
          <w:tcPr>
            <w:tcW w:w="2689" w:type="dxa"/>
          </w:tcPr>
          <w:p w14:paraId="3C8E94A6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lastRenderedPageBreak/>
              <w:t>Low Income Low Asset (LILA)</w:t>
            </w:r>
          </w:p>
          <w:p w14:paraId="44E97108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</w:p>
        </w:tc>
        <w:tc>
          <w:tcPr>
            <w:tcW w:w="6327" w:type="dxa"/>
          </w:tcPr>
          <w:p w14:paraId="4AA219BF" w14:textId="2901A1C2" w:rsidR="007F4929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Was a </w:t>
            </w:r>
            <w:r w:rsidR="007F4929">
              <w:rPr>
                <w:rFonts w:cs="Arial"/>
                <w:szCs w:val="24"/>
              </w:rPr>
              <w:t xml:space="preserve">form of </w:t>
            </w:r>
            <w:r w:rsidRPr="00470870">
              <w:rPr>
                <w:rFonts w:cs="Arial"/>
                <w:szCs w:val="24"/>
              </w:rPr>
              <w:t xml:space="preserve">bankruptcy </w:t>
            </w:r>
            <w:r w:rsidRPr="00470870">
              <w:rPr>
                <w:rFonts w:cs="Arial"/>
                <w:color w:val="000000"/>
                <w:szCs w:val="24"/>
              </w:rPr>
              <w:t xml:space="preserve">introduced to provide debt relief to debtors who </w:t>
            </w:r>
            <w:r w:rsidR="007F4929">
              <w:rPr>
                <w:rFonts w:cs="Arial"/>
                <w:color w:val="000000"/>
                <w:szCs w:val="24"/>
              </w:rPr>
              <w:t>could not</w:t>
            </w:r>
            <w:r w:rsidRPr="00470870">
              <w:rPr>
                <w:rFonts w:cs="Arial"/>
                <w:color w:val="000000"/>
                <w:szCs w:val="24"/>
              </w:rPr>
              <w:t xml:space="preserve"> afford to pay their debts and </w:t>
            </w:r>
            <w:r w:rsidR="007F4929">
              <w:rPr>
                <w:rFonts w:cs="Arial"/>
                <w:color w:val="000000"/>
                <w:szCs w:val="24"/>
              </w:rPr>
              <w:t>had</w:t>
            </w:r>
            <w:r w:rsidRPr="00470870">
              <w:rPr>
                <w:rFonts w:cs="Arial"/>
                <w:color w:val="000000"/>
                <w:szCs w:val="24"/>
              </w:rPr>
              <w:t xml:space="preserve"> low income and limited assets</w:t>
            </w:r>
            <w:r w:rsidRPr="00470870">
              <w:rPr>
                <w:rFonts w:cs="Arial"/>
                <w:szCs w:val="24"/>
              </w:rPr>
              <w:t xml:space="preserve">. It was replaced with </w:t>
            </w:r>
            <w:r w:rsidR="007F4929">
              <w:rPr>
                <w:rFonts w:cs="Arial"/>
                <w:szCs w:val="24"/>
              </w:rPr>
              <w:t>Minimal Asset Process (</w:t>
            </w:r>
            <w:r w:rsidRPr="00470870">
              <w:rPr>
                <w:rFonts w:cs="Arial"/>
                <w:szCs w:val="24"/>
              </w:rPr>
              <w:t>MAP</w:t>
            </w:r>
            <w:r w:rsidR="007F4929">
              <w:rPr>
                <w:rFonts w:cs="Arial"/>
                <w:szCs w:val="24"/>
              </w:rPr>
              <w:t>)</w:t>
            </w:r>
            <w:r w:rsidRPr="00470870">
              <w:rPr>
                <w:rFonts w:cs="Arial"/>
                <w:szCs w:val="24"/>
              </w:rPr>
              <w:t xml:space="preserve"> on 1 April 2015.</w:t>
            </w:r>
          </w:p>
        </w:tc>
      </w:tr>
      <w:tr w:rsidR="000A15C0" w:rsidRPr="00470870" w14:paraId="46672CA2" w14:textId="77777777" w:rsidTr="00F575AD">
        <w:tc>
          <w:tcPr>
            <w:tcW w:w="2689" w:type="dxa"/>
          </w:tcPr>
          <w:p w14:paraId="0C9DC6D8" w14:textId="44D37402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Maximum </w:t>
            </w:r>
            <w:r w:rsidR="007F4929">
              <w:rPr>
                <w:rFonts w:cs="Arial"/>
                <w:szCs w:val="24"/>
              </w:rPr>
              <w:t>Debt T</w:t>
            </w:r>
            <w:r w:rsidRPr="00470870">
              <w:rPr>
                <w:rFonts w:cs="Arial"/>
                <w:szCs w:val="24"/>
              </w:rPr>
              <w:t>hreshold</w:t>
            </w:r>
          </w:p>
        </w:tc>
        <w:tc>
          <w:tcPr>
            <w:tcW w:w="6327" w:type="dxa"/>
          </w:tcPr>
          <w:p w14:paraId="1BE1F455" w14:textId="02FE37D4" w:rsidR="007F4929" w:rsidRPr="00470870" w:rsidRDefault="000A15C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maximum amount of debt a person can have to enable them to enter a </w:t>
            </w:r>
            <w:r w:rsidR="007F4929">
              <w:rPr>
                <w:rFonts w:cs="Arial"/>
                <w:szCs w:val="24"/>
              </w:rPr>
              <w:t>Minimal Asset Process (</w:t>
            </w:r>
            <w:r>
              <w:rPr>
                <w:rFonts w:cs="Arial"/>
                <w:szCs w:val="24"/>
              </w:rPr>
              <w:t>MAP</w:t>
            </w:r>
            <w:r w:rsidR="007F4929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 xml:space="preserve"> bankruptcy. </w:t>
            </w:r>
          </w:p>
        </w:tc>
      </w:tr>
      <w:tr w:rsidR="000A15C0" w:rsidRPr="00470870" w14:paraId="75AE3B25" w14:textId="77777777" w:rsidTr="00F575AD">
        <w:tc>
          <w:tcPr>
            <w:tcW w:w="2689" w:type="dxa"/>
          </w:tcPr>
          <w:p w14:paraId="7F280ED3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Minimal Asset Process (MAP)</w:t>
            </w:r>
          </w:p>
        </w:tc>
        <w:tc>
          <w:tcPr>
            <w:tcW w:w="6327" w:type="dxa"/>
          </w:tcPr>
          <w:p w14:paraId="3ECDBBE6" w14:textId="6AAF8DF2" w:rsidR="007F4929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A </w:t>
            </w:r>
            <w:r w:rsidR="007F4929">
              <w:rPr>
                <w:rFonts w:cs="Arial"/>
                <w:szCs w:val="24"/>
              </w:rPr>
              <w:t>form of</w:t>
            </w:r>
            <w:r w:rsidRPr="00470870">
              <w:rPr>
                <w:rFonts w:cs="Arial"/>
                <w:szCs w:val="24"/>
              </w:rPr>
              <w:t xml:space="preserve"> bankruptcy for people </w:t>
            </w:r>
            <w:r w:rsidR="007F4929">
              <w:rPr>
                <w:rFonts w:cs="Arial"/>
                <w:szCs w:val="24"/>
              </w:rPr>
              <w:t>with total assets of less than £2,000 and debts of between £1,500 and £25,000.</w:t>
            </w:r>
          </w:p>
        </w:tc>
      </w:tr>
      <w:tr w:rsidR="000A15C0" w:rsidRPr="00470870" w:rsidDel="000A569F" w14:paraId="2D447761" w14:textId="77777777" w:rsidTr="00F575AD">
        <w:tc>
          <w:tcPr>
            <w:tcW w:w="2689" w:type="dxa"/>
          </w:tcPr>
          <w:p w14:paraId="381FFD6B" w14:textId="4A1A7444" w:rsidR="000A15C0" w:rsidRPr="00470870" w:rsidDel="000A569F" w:rsidRDefault="000A15C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Minimum </w:t>
            </w:r>
            <w:r w:rsidR="007F4929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 xml:space="preserve">ebt </w:t>
            </w:r>
            <w:r w:rsidR="007F4929">
              <w:rPr>
                <w:rFonts w:cs="Arial"/>
                <w:szCs w:val="24"/>
              </w:rPr>
              <w:t>T</w:t>
            </w:r>
            <w:r>
              <w:rPr>
                <w:rFonts w:cs="Arial"/>
                <w:szCs w:val="24"/>
              </w:rPr>
              <w:t>hreshold</w:t>
            </w:r>
          </w:p>
        </w:tc>
        <w:tc>
          <w:tcPr>
            <w:tcW w:w="6327" w:type="dxa"/>
          </w:tcPr>
          <w:p w14:paraId="3E49B8D4" w14:textId="351A1519" w:rsidR="007F4929" w:rsidRDefault="000A15C0" w:rsidP="0017552B">
            <w:r>
              <w:t xml:space="preserve">The minimum amount of debt a person must </w:t>
            </w:r>
            <w:r w:rsidR="005D1454">
              <w:t xml:space="preserve">owe </w:t>
            </w:r>
            <w:r>
              <w:t>before they can apply for their own bankruptcy and the minimum amount of debt necessary for a creditor petition for bankruptcy</w:t>
            </w:r>
            <w:r w:rsidR="007F4929">
              <w:t>.</w:t>
            </w:r>
          </w:p>
        </w:tc>
      </w:tr>
      <w:tr w:rsidR="000A15C0" w:rsidRPr="00470870" w14:paraId="20515813" w14:textId="77777777" w:rsidTr="00F575AD">
        <w:tc>
          <w:tcPr>
            <w:tcW w:w="2689" w:type="dxa"/>
          </w:tcPr>
          <w:p w14:paraId="36A4A053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Minimum Income Standards (MIS)</w:t>
            </w:r>
          </w:p>
          <w:p w14:paraId="64A7730E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</w:p>
        </w:tc>
        <w:tc>
          <w:tcPr>
            <w:tcW w:w="6327" w:type="dxa"/>
          </w:tcPr>
          <w:p w14:paraId="06F5D74D" w14:textId="03DF234C" w:rsidR="006B6002" w:rsidRPr="00470870" w:rsidRDefault="006B6002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 research method, developed by the Joseph Rowntree Foundation, to identify what </w:t>
            </w:r>
            <w:r w:rsidR="00284A94">
              <w:rPr>
                <w:rFonts w:cs="Arial"/>
                <w:szCs w:val="24"/>
              </w:rPr>
              <w:t>income</w:t>
            </w:r>
            <w:r>
              <w:rPr>
                <w:rFonts w:cs="Arial"/>
                <w:szCs w:val="24"/>
              </w:rPr>
              <w:t>s</w:t>
            </w:r>
            <w:r w:rsidR="00284A9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different households require to reach a socially acceptable living standard.</w:t>
            </w:r>
          </w:p>
        </w:tc>
      </w:tr>
      <w:tr w:rsidR="000A15C0" w:rsidRPr="00470870" w14:paraId="1BF95AB5" w14:textId="77777777" w:rsidTr="00F575AD">
        <w:tc>
          <w:tcPr>
            <w:tcW w:w="2689" w:type="dxa"/>
          </w:tcPr>
          <w:p w14:paraId="2C0F94BE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Moratorium on diligence</w:t>
            </w:r>
          </w:p>
        </w:tc>
        <w:tc>
          <w:tcPr>
            <w:tcW w:w="6327" w:type="dxa"/>
          </w:tcPr>
          <w:p w14:paraId="6CC9FCEF" w14:textId="27380C0C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A </w:t>
            </w:r>
            <w:r w:rsidR="006B6002">
              <w:rPr>
                <w:rFonts w:cs="Arial"/>
                <w:szCs w:val="24"/>
              </w:rPr>
              <w:t xml:space="preserve">period of debt relief during which creditors cannot take action to enforce a debt. </w:t>
            </w:r>
            <w:r w:rsidRPr="00470870">
              <w:rPr>
                <w:rFonts w:cs="Arial"/>
                <w:szCs w:val="24"/>
              </w:rPr>
              <w:t>This protection is available to individuals as well as certain entities.</w:t>
            </w:r>
            <w:r w:rsidR="006B6002">
              <w:rPr>
                <w:rFonts w:cs="Arial"/>
                <w:szCs w:val="24"/>
              </w:rPr>
              <w:t xml:space="preserve"> It cannot be granted more than once in any 12 month period.</w:t>
            </w:r>
            <w:r w:rsidRPr="00470870">
              <w:rPr>
                <w:rFonts w:cs="Arial"/>
                <w:szCs w:val="24"/>
              </w:rPr>
              <w:t xml:space="preserve"> Although it normally lasts for a period of six weeks</w:t>
            </w:r>
            <w:r w:rsidR="006B6002">
              <w:rPr>
                <w:rFonts w:cs="Arial"/>
                <w:szCs w:val="24"/>
              </w:rPr>
              <w:t xml:space="preserve"> there is currently a temporary </w:t>
            </w:r>
            <w:r w:rsidR="0076324A">
              <w:rPr>
                <w:rFonts w:cs="Arial"/>
                <w:szCs w:val="24"/>
              </w:rPr>
              <w:t>extension</w:t>
            </w:r>
            <w:r w:rsidR="0076324A" w:rsidRPr="00470870">
              <w:rPr>
                <w:rFonts w:cs="Arial"/>
                <w:szCs w:val="24"/>
              </w:rPr>
              <w:t xml:space="preserve"> to</w:t>
            </w:r>
            <w:r w:rsidRPr="00470870">
              <w:rPr>
                <w:rFonts w:cs="Arial"/>
                <w:szCs w:val="24"/>
              </w:rPr>
              <w:t xml:space="preserve"> six months</w:t>
            </w:r>
            <w:r w:rsidR="006B6002">
              <w:rPr>
                <w:rFonts w:cs="Arial"/>
                <w:szCs w:val="24"/>
              </w:rPr>
              <w:t>.</w:t>
            </w:r>
            <w:r w:rsidRPr="00470870">
              <w:rPr>
                <w:rFonts w:cs="Arial"/>
                <w:szCs w:val="24"/>
              </w:rPr>
              <w:t xml:space="preserve"> </w:t>
            </w:r>
          </w:p>
        </w:tc>
      </w:tr>
      <w:tr w:rsidR="000A15C0" w:rsidRPr="00470870" w14:paraId="4A3CFDF9" w14:textId="77777777" w:rsidTr="00F575AD">
        <w:tc>
          <w:tcPr>
            <w:tcW w:w="2689" w:type="dxa"/>
          </w:tcPr>
          <w:p w14:paraId="48198B39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Offer of Composition</w:t>
            </w:r>
          </w:p>
          <w:p w14:paraId="16FEEFC3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</w:p>
        </w:tc>
        <w:tc>
          <w:tcPr>
            <w:tcW w:w="6327" w:type="dxa"/>
          </w:tcPr>
          <w:p w14:paraId="4D40CE73" w14:textId="12E4449D" w:rsidR="006B6002" w:rsidRPr="0017552B" w:rsidRDefault="000A15C0" w:rsidP="0017552B">
            <w:pPr>
              <w:rPr>
                <w:rFonts w:cs="Arial"/>
                <w:color w:val="000000"/>
                <w:szCs w:val="24"/>
              </w:rPr>
            </w:pPr>
            <w:r w:rsidRPr="00470870">
              <w:rPr>
                <w:rFonts w:cs="Arial"/>
                <w:color w:val="000000"/>
                <w:szCs w:val="24"/>
              </w:rPr>
              <w:t xml:space="preserve">An </w:t>
            </w:r>
            <w:r w:rsidR="006B6002">
              <w:rPr>
                <w:rFonts w:cs="Arial"/>
                <w:color w:val="000000"/>
                <w:szCs w:val="24"/>
              </w:rPr>
              <w:t xml:space="preserve">offer made to creditors seeking their </w:t>
            </w:r>
            <w:r w:rsidRPr="00470870">
              <w:rPr>
                <w:rFonts w:cs="Arial"/>
                <w:color w:val="000000"/>
                <w:szCs w:val="24"/>
              </w:rPr>
              <w:t xml:space="preserve">agreement </w:t>
            </w:r>
            <w:r w:rsidR="006B6002">
              <w:rPr>
                <w:rFonts w:cs="Arial"/>
                <w:color w:val="000000"/>
                <w:szCs w:val="24"/>
              </w:rPr>
              <w:t>to</w:t>
            </w:r>
            <w:r w:rsidRPr="00470870">
              <w:rPr>
                <w:rFonts w:cs="Arial"/>
                <w:color w:val="000000"/>
                <w:szCs w:val="24"/>
              </w:rPr>
              <w:t xml:space="preserve"> accept payment or part payment of debts owed by the debtor. </w:t>
            </w:r>
            <w:r w:rsidR="0076324A">
              <w:rPr>
                <w:rFonts w:cs="Arial"/>
                <w:color w:val="000000"/>
                <w:szCs w:val="24"/>
              </w:rPr>
              <w:t>Where creditors</w:t>
            </w:r>
            <w:r w:rsidR="006B6002">
              <w:rPr>
                <w:rFonts w:cs="Arial"/>
                <w:color w:val="000000"/>
                <w:szCs w:val="24"/>
              </w:rPr>
              <w:t xml:space="preserve"> agree their debt is discharged.</w:t>
            </w:r>
          </w:p>
        </w:tc>
      </w:tr>
      <w:tr w:rsidR="000A15C0" w:rsidRPr="00470870" w14:paraId="24B4075E" w14:textId="77777777" w:rsidTr="00F575AD">
        <w:tc>
          <w:tcPr>
            <w:tcW w:w="2689" w:type="dxa"/>
          </w:tcPr>
          <w:p w14:paraId="20E81E63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lastRenderedPageBreak/>
              <w:t>Personal insolvency</w:t>
            </w:r>
          </w:p>
        </w:tc>
        <w:tc>
          <w:tcPr>
            <w:tcW w:w="6327" w:type="dxa"/>
          </w:tcPr>
          <w:p w14:paraId="03E28925" w14:textId="43AC7CBD" w:rsidR="006B6002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The awards of bankruptcy </w:t>
            </w:r>
            <w:r w:rsidR="009B7886">
              <w:rPr>
                <w:rFonts w:cs="Arial"/>
                <w:szCs w:val="24"/>
              </w:rPr>
              <w:t xml:space="preserve">in </w:t>
            </w:r>
            <w:r w:rsidRPr="00470870">
              <w:rPr>
                <w:rFonts w:cs="Arial"/>
                <w:szCs w:val="24"/>
              </w:rPr>
              <w:t>Full Administration</w:t>
            </w:r>
            <w:r w:rsidR="009B7886">
              <w:rPr>
                <w:rFonts w:cs="Arial"/>
                <w:szCs w:val="24"/>
              </w:rPr>
              <w:t xml:space="preserve"> Bankruptcy</w:t>
            </w:r>
            <w:r w:rsidRPr="00470870">
              <w:rPr>
                <w:rFonts w:cs="Arial"/>
                <w:szCs w:val="24"/>
              </w:rPr>
              <w:t xml:space="preserve"> and M</w:t>
            </w:r>
            <w:r w:rsidR="009B7886">
              <w:rPr>
                <w:rFonts w:cs="Arial"/>
                <w:szCs w:val="24"/>
              </w:rPr>
              <w:t>inimal Asset Process (M</w:t>
            </w:r>
            <w:r w:rsidRPr="00470870">
              <w:rPr>
                <w:rFonts w:cs="Arial"/>
                <w:szCs w:val="24"/>
              </w:rPr>
              <w:t xml:space="preserve">AP) </w:t>
            </w:r>
            <w:r w:rsidR="006B6002">
              <w:rPr>
                <w:rFonts w:cs="Arial"/>
                <w:szCs w:val="24"/>
              </w:rPr>
              <w:t>or</w:t>
            </w:r>
            <w:r w:rsidR="006B6002" w:rsidRPr="00470870">
              <w:rPr>
                <w:rFonts w:cs="Arial"/>
                <w:szCs w:val="24"/>
              </w:rPr>
              <w:t xml:space="preserve"> </w:t>
            </w:r>
            <w:r w:rsidR="006B6002">
              <w:rPr>
                <w:rFonts w:cs="Arial"/>
                <w:szCs w:val="24"/>
              </w:rPr>
              <w:t xml:space="preserve">entering a </w:t>
            </w:r>
            <w:r w:rsidRPr="00470870">
              <w:rPr>
                <w:rFonts w:cs="Arial"/>
                <w:szCs w:val="24"/>
              </w:rPr>
              <w:t>P</w:t>
            </w:r>
            <w:r w:rsidR="006B6002">
              <w:rPr>
                <w:rFonts w:cs="Arial"/>
                <w:szCs w:val="24"/>
              </w:rPr>
              <w:t>rotected Trust Deed</w:t>
            </w:r>
            <w:r w:rsidR="009B7886">
              <w:rPr>
                <w:rFonts w:cs="Arial"/>
                <w:szCs w:val="24"/>
              </w:rPr>
              <w:t xml:space="preserve"> (PTD)</w:t>
            </w:r>
            <w:r w:rsidRPr="00470870">
              <w:rPr>
                <w:rFonts w:cs="Arial"/>
                <w:szCs w:val="24"/>
              </w:rPr>
              <w:t>.</w:t>
            </w:r>
          </w:p>
        </w:tc>
      </w:tr>
      <w:tr w:rsidR="000A15C0" w:rsidRPr="00470870" w14:paraId="30A5C187" w14:textId="77777777" w:rsidTr="00F575AD">
        <w:tc>
          <w:tcPr>
            <w:tcW w:w="2689" w:type="dxa"/>
          </w:tcPr>
          <w:p w14:paraId="620C265B" w14:textId="0E23AE6D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Petition for sequestration</w:t>
            </w:r>
          </w:p>
        </w:tc>
        <w:tc>
          <w:tcPr>
            <w:tcW w:w="6327" w:type="dxa"/>
          </w:tcPr>
          <w:p w14:paraId="07285085" w14:textId="4A2F9756" w:rsidR="006B6002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The formal application to court by a creditor or creditors </w:t>
            </w:r>
            <w:r w:rsidR="006B6002">
              <w:rPr>
                <w:rFonts w:cs="Arial"/>
                <w:szCs w:val="24"/>
              </w:rPr>
              <w:t>or a trustee under a trust deed for the bankruptcy of a debtor’s estate.</w:t>
            </w:r>
          </w:p>
        </w:tc>
      </w:tr>
      <w:tr w:rsidR="000A15C0" w:rsidRPr="00470870" w14:paraId="18F3CE12" w14:textId="77777777" w:rsidTr="00F575AD">
        <w:tc>
          <w:tcPr>
            <w:tcW w:w="2689" w:type="dxa"/>
          </w:tcPr>
          <w:p w14:paraId="6F67E14C" w14:textId="2AC51A36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Prescribed rate of interest</w:t>
            </w:r>
            <w:r w:rsidR="006B6002">
              <w:rPr>
                <w:rFonts w:cs="Arial"/>
                <w:szCs w:val="24"/>
              </w:rPr>
              <w:t xml:space="preserve"> </w:t>
            </w:r>
            <w:r w:rsidRPr="00470870">
              <w:rPr>
                <w:rFonts w:cs="Arial"/>
                <w:szCs w:val="24"/>
              </w:rPr>
              <w:t>(statutory rate of interest)</w:t>
            </w:r>
          </w:p>
        </w:tc>
        <w:tc>
          <w:tcPr>
            <w:tcW w:w="6327" w:type="dxa"/>
          </w:tcPr>
          <w:p w14:paraId="7F3B1724" w14:textId="1CDC6458" w:rsidR="009B7886" w:rsidRPr="00470870" w:rsidRDefault="000A15C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rate of interest </w:t>
            </w:r>
            <w:r w:rsidR="009B7886">
              <w:rPr>
                <w:rFonts w:cs="Arial"/>
                <w:szCs w:val="24"/>
              </w:rPr>
              <w:t xml:space="preserve">prescribed in legislation and </w:t>
            </w:r>
            <w:r>
              <w:rPr>
                <w:rFonts w:cs="Arial"/>
                <w:szCs w:val="24"/>
              </w:rPr>
              <w:t xml:space="preserve">payable </w:t>
            </w:r>
            <w:r w:rsidR="009B7886">
              <w:rPr>
                <w:rFonts w:cs="Arial"/>
                <w:szCs w:val="24"/>
              </w:rPr>
              <w:t xml:space="preserve">to </w:t>
            </w:r>
            <w:r>
              <w:rPr>
                <w:rFonts w:cs="Arial"/>
                <w:szCs w:val="24"/>
              </w:rPr>
              <w:t xml:space="preserve">creditors when </w:t>
            </w:r>
            <w:r w:rsidR="009B7886">
              <w:rPr>
                <w:rFonts w:cs="Arial"/>
                <w:szCs w:val="24"/>
              </w:rPr>
              <w:t xml:space="preserve">sufficient estate remains after </w:t>
            </w:r>
            <w:r w:rsidR="0076324A">
              <w:rPr>
                <w:rFonts w:cs="Arial"/>
                <w:szCs w:val="24"/>
              </w:rPr>
              <w:t>all relevant expenses and creditor claims have been paid in full.</w:t>
            </w:r>
          </w:p>
        </w:tc>
      </w:tr>
      <w:tr w:rsidR="000A15C0" w:rsidRPr="00470870" w14:paraId="69A04C34" w14:textId="77777777" w:rsidTr="00F575AD">
        <w:tc>
          <w:tcPr>
            <w:tcW w:w="2689" w:type="dxa"/>
          </w:tcPr>
          <w:p w14:paraId="5C35441B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Protected Trust Deed (PTD)</w:t>
            </w:r>
          </w:p>
        </w:tc>
        <w:tc>
          <w:tcPr>
            <w:tcW w:w="6327" w:type="dxa"/>
          </w:tcPr>
          <w:p w14:paraId="0282A929" w14:textId="399D1897" w:rsidR="006B6002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A </w:t>
            </w:r>
            <w:r w:rsidR="009B7886">
              <w:rPr>
                <w:rFonts w:cs="Arial"/>
                <w:szCs w:val="24"/>
              </w:rPr>
              <w:t xml:space="preserve">voluntary formal debt solution entered by a debtor which </w:t>
            </w:r>
            <w:r w:rsidRPr="00470870">
              <w:rPr>
                <w:rFonts w:cs="Arial"/>
                <w:szCs w:val="24"/>
              </w:rPr>
              <w:t xml:space="preserve">transfers </w:t>
            </w:r>
            <w:r w:rsidR="009B7886">
              <w:rPr>
                <w:rFonts w:cs="Arial"/>
                <w:szCs w:val="24"/>
              </w:rPr>
              <w:t>their</w:t>
            </w:r>
            <w:r w:rsidR="009B7886" w:rsidRPr="00470870">
              <w:rPr>
                <w:rFonts w:cs="Arial"/>
                <w:szCs w:val="24"/>
              </w:rPr>
              <w:t xml:space="preserve"> </w:t>
            </w:r>
            <w:r w:rsidRPr="00470870">
              <w:rPr>
                <w:rFonts w:cs="Arial"/>
                <w:szCs w:val="24"/>
              </w:rPr>
              <w:t xml:space="preserve">estate to a trustee to be realised for the benefit of </w:t>
            </w:r>
            <w:r w:rsidR="009B7886">
              <w:rPr>
                <w:rFonts w:cs="Arial"/>
                <w:szCs w:val="24"/>
              </w:rPr>
              <w:t xml:space="preserve">their </w:t>
            </w:r>
            <w:r w:rsidRPr="00470870">
              <w:rPr>
                <w:rFonts w:cs="Arial"/>
                <w:szCs w:val="24"/>
              </w:rPr>
              <w:t xml:space="preserve">creditors. A trust deed may be protected as long as a majority in number or a third in value of creditors do not object to its terms. Once protected, the terms of the trust deed </w:t>
            </w:r>
            <w:r w:rsidR="009B7886">
              <w:rPr>
                <w:rFonts w:cs="Arial"/>
                <w:szCs w:val="24"/>
              </w:rPr>
              <w:t>become</w:t>
            </w:r>
            <w:r w:rsidR="009B7886" w:rsidRPr="00470870">
              <w:rPr>
                <w:rFonts w:cs="Arial"/>
                <w:szCs w:val="24"/>
              </w:rPr>
              <w:t xml:space="preserve"> </w:t>
            </w:r>
            <w:r w:rsidRPr="00470870">
              <w:rPr>
                <w:rFonts w:cs="Arial"/>
                <w:szCs w:val="24"/>
              </w:rPr>
              <w:t>binding on all the creditors</w:t>
            </w:r>
            <w:r w:rsidR="009B7886">
              <w:rPr>
                <w:rFonts w:cs="Arial"/>
                <w:szCs w:val="24"/>
              </w:rPr>
              <w:t xml:space="preserve"> and prevents them from pursuing their debt or to make the debtor bankrupt</w:t>
            </w:r>
            <w:r w:rsidRPr="00470870">
              <w:rPr>
                <w:rFonts w:cs="Arial"/>
                <w:szCs w:val="24"/>
              </w:rPr>
              <w:t>.</w:t>
            </w:r>
          </w:p>
        </w:tc>
      </w:tr>
      <w:tr w:rsidR="000A15C0" w:rsidRPr="00470870" w14:paraId="770F31C0" w14:textId="77777777" w:rsidTr="00F575AD">
        <w:tc>
          <w:tcPr>
            <w:tcW w:w="2689" w:type="dxa"/>
          </w:tcPr>
          <w:p w14:paraId="45985D94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PTD Protocol</w:t>
            </w:r>
          </w:p>
          <w:p w14:paraId="014ADCD2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</w:p>
        </w:tc>
        <w:tc>
          <w:tcPr>
            <w:tcW w:w="6327" w:type="dxa"/>
          </w:tcPr>
          <w:p w14:paraId="300626E7" w14:textId="049E3D2A" w:rsidR="005436C9" w:rsidRPr="00470870" w:rsidRDefault="009B7886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document voluntarily entered by Insolvency Practitioners which promotes good practice and transparency in the Protected Trust Deed (PTD) process. It s</w:t>
            </w:r>
            <w:r w:rsidR="000A15C0" w:rsidRPr="00470870">
              <w:rPr>
                <w:rFonts w:cs="Arial"/>
                <w:szCs w:val="24"/>
              </w:rPr>
              <w:t>ets out</w:t>
            </w:r>
            <w:r>
              <w:rPr>
                <w:rFonts w:cs="Arial"/>
                <w:szCs w:val="24"/>
              </w:rPr>
              <w:t xml:space="preserve"> agreed</w:t>
            </w:r>
            <w:r w:rsidR="000A15C0" w:rsidRPr="00470870">
              <w:rPr>
                <w:rFonts w:cs="Arial"/>
                <w:szCs w:val="24"/>
              </w:rPr>
              <w:t xml:space="preserve"> non-statutory changes to the operational processes within </w:t>
            </w:r>
            <w:r>
              <w:rPr>
                <w:rFonts w:cs="Arial"/>
                <w:szCs w:val="24"/>
              </w:rPr>
              <w:t>PTDs</w:t>
            </w:r>
            <w:r w:rsidR="000A15C0" w:rsidRPr="00470870">
              <w:rPr>
                <w:rFonts w:cs="Arial"/>
                <w:szCs w:val="24"/>
              </w:rPr>
              <w:t xml:space="preserve">. </w:t>
            </w:r>
          </w:p>
        </w:tc>
      </w:tr>
      <w:tr w:rsidR="000A15C0" w:rsidRPr="00470870" w14:paraId="5D845046" w14:textId="77777777" w:rsidTr="00F575AD">
        <w:tc>
          <w:tcPr>
            <w:tcW w:w="2689" w:type="dxa"/>
          </w:tcPr>
          <w:p w14:paraId="1CF4832F" w14:textId="677F1485" w:rsidR="000A15C0" w:rsidRPr="00470870" w:rsidDel="00AA4AED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Qualified creditor</w:t>
            </w:r>
            <w:r w:rsidR="009B7886">
              <w:rPr>
                <w:rFonts w:cs="Arial"/>
                <w:szCs w:val="24"/>
              </w:rPr>
              <w:t>(s)</w:t>
            </w:r>
          </w:p>
        </w:tc>
        <w:tc>
          <w:tcPr>
            <w:tcW w:w="6327" w:type="dxa"/>
          </w:tcPr>
          <w:p w14:paraId="03240345" w14:textId="1980A909" w:rsidR="00EC67D5" w:rsidRDefault="000A15C0" w:rsidP="0017552B">
            <w:pPr>
              <w:rPr>
                <w:rFonts w:cs="Arial"/>
                <w:color w:val="000000"/>
                <w:szCs w:val="24"/>
              </w:rPr>
            </w:pPr>
            <w:r w:rsidRPr="00470870">
              <w:rPr>
                <w:rFonts w:cs="Arial"/>
                <w:color w:val="000000"/>
                <w:szCs w:val="24"/>
              </w:rPr>
              <w:t>A creditor</w:t>
            </w:r>
            <w:r w:rsidR="009B7886">
              <w:rPr>
                <w:rFonts w:cs="Arial"/>
                <w:color w:val="000000"/>
                <w:szCs w:val="24"/>
              </w:rPr>
              <w:t xml:space="preserve"> or creditors of the debtor who are owed </w:t>
            </w:r>
            <w:r w:rsidRPr="00470870">
              <w:rPr>
                <w:rFonts w:cs="Arial"/>
                <w:color w:val="000000"/>
                <w:szCs w:val="24"/>
              </w:rPr>
              <w:t>at least £</w:t>
            </w:r>
            <w:r w:rsidR="009B7886">
              <w:rPr>
                <w:rFonts w:cs="Arial"/>
                <w:color w:val="000000"/>
                <w:szCs w:val="24"/>
              </w:rPr>
              <w:t>3,000</w:t>
            </w:r>
            <w:r w:rsidR="00EC67D5">
              <w:rPr>
                <w:rFonts w:cs="Arial"/>
                <w:color w:val="000000"/>
                <w:szCs w:val="24"/>
              </w:rPr>
              <w:t>*</w:t>
            </w:r>
            <w:r w:rsidR="009B7886" w:rsidRPr="00470870">
              <w:rPr>
                <w:rFonts w:cs="Arial"/>
                <w:color w:val="000000"/>
                <w:szCs w:val="24"/>
              </w:rPr>
              <w:t xml:space="preserve"> </w:t>
            </w:r>
            <w:r w:rsidR="009B7886">
              <w:rPr>
                <w:rFonts w:cs="Arial"/>
                <w:color w:val="000000"/>
                <w:szCs w:val="24"/>
              </w:rPr>
              <w:t xml:space="preserve">and are able to petition for the debtor’s bankruptcy. </w:t>
            </w:r>
          </w:p>
          <w:p w14:paraId="6B5957A5" w14:textId="743BEB02" w:rsidR="009B7886" w:rsidRPr="0017552B" w:rsidRDefault="00EC67D5" w:rsidP="0017552B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*</w:t>
            </w:r>
            <w:r w:rsidR="009B7886">
              <w:rPr>
                <w:rFonts w:cs="Arial"/>
                <w:color w:val="000000"/>
                <w:szCs w:val="24"/>
              </w:rPr>
              <w:t>This has been temporarily increased to £10,000.</w:t>
            </w:r>
          </w:p>
        </w:tc>
      </w:tr>
      <w:tr w:rsidR="000A15C0" w:rsidRPr="00470870" w14:paraId="3E81A653" w14:textId="77777777" w:rsidTr="00F575AD">
        <w:tc>
          <w:tcPr>
            <w:tcW w:w="2689" w:type="dxa"/>
          </w:tcPr>
          <w:p w14:paraId="380866AC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Quash</w:t>
            </w:r>
          </w:p>
        </w:tc>
        <w:tc>
          <w:tcPr>
            <w:tcW w:w="6327" w:type="dxa"/>
          </w:tcPr>
          <w:p w14:paraId="7BF343EC" w14:textId="29E8B04B" w:rsidR="000A15C0" w:rsidRPr="00470870" w:rsidRDefault="009B7886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ability for the trustee to end a Debtor Contribution Order (DCO) following a change in the debtor’s </w:t>
            </w:r>
            <w:r>
              <w:rPr>
                <w:rFonts w:cs="Arial"/>
                <w:szCs w:val="24"/>
              </w:rPr>
              <w:lastRenderedPageBreak/>
              <w:t>circumstances which is evidenced by the Common Financial Tool (CFT).</w:t>
            </w:r>
          </w:p>
        </w:tc>
      </w:tr>
      <w:tr w:rsidR="000A15C0" w:rsidRPr="00470870" w14:paraId="618189AE" w14:textId="77777777" w:rsidTr="00F575AD">
        <w:tc>
          <w:tcPr>
            <w:tcW w:w="2689" w:type="dxa"/>
          </w:tcPr>
          <w:p w14:paraId="0ED6A615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lastRenderedPageBreak/>
              <w:t>Recall of sequestration</w:t>
            </w:r>
          </w:p>
          <w:p w14:paraId="5BAE24A1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</w:p>
        </w:tc>
        <w:tc>
          <w:tcPr>
            <w:tcW w:w="6327" w:type="dxa"/>
          </w:tcPr>
          <w:p w14:paraId="42C02CC0" w14:textId="2BCA039C" w:rsidR="009B7886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A process to end the bankruptcy and restore </w:t>
            </w:r>
            <w:r w:rsidR="009B7886">
              <w:rPr>
                <w:rFonts w:cs="Arial"/>
                <w:szCs w:val="24"/>
              </w:rPr>
              <w:t xml:space="preserve">as far a possible </w:t>
            </w:r>
            <w:r w:rsidRPr="00470870">
              <w:rPr>
                <w:rFonts w:cs="Arial"/>
                <w:szCs w:val="24"/>
              </w:rPr>
              <w:t xml:space="preserve">the debtor, or any persons affected by the bankruptcy to the position they </w:t>
            </w:r>
            <w:r w:rsidR="009B7886">
              <w:rPr>
                <w:rFonts w:cs="Arial"/>
                <w:szCs w:val="24"/>
              </w:rPr>
              <w:t>would have been</w:t>
            </w:r>
            <w:r w:rsidR="009B7886" w:rsidRPr="00470870">
              <w:rPr>
                <w:rFonts w:cs="Arial"/>
                <w:szCs w:val="24"/>
              </w:rPr>
              <w:t xml:space="preserve"> </w:t>
            </w:r>
            <w:r w:rsidRPr="00470870">
              <w:rPr>
                <w:rFonts w:cs="Arial"/>
                <w:szCs w:val="24"/>
              </w:rPr>
              <w:t xml:space="preserve">in if the bankruptcy had not been awarded. </w:t>
            </w:r>
          </w:p>
        </w:tc>
      </w:tr>
      <w:tr w:rsidR="000A15C0" w:rsidRPr="00470870" w14:paraId="16F504CA" w14:textId="77777777" w:rsidTr="00F575AD">
        <w:tc>
          <w:tcPr>
            <w:tcW w:w="2689" w:type="dxa"/>
          </w:tcPr>
          <w:p w14:paraId="418BC070" w14:textId="1BD1139A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Recognised Professional Bod</w:t>
            </w:r>
            <w:r w:rsidR="00EC67D5">
              <w:rPr>
                <w:rFonts w:cs="Arial"/>
                <w:szCs w:val="24"/>
              </w:rPr>
              <w:t>y</w:t>
            </w:r>
            <w:r w:rsidRPr="00470870">
              <w:rPr>
                <w:rFonts w:cs="Arial"/>
                <w:szCs w:val="24"/>
              </w:rPr>
              <w:t xml:space="preserve"> (RPB)</w:t>
            </w:r>
          </w:p>
          <w:p w14:paraId="29625591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</w:p>
        </w:tc>
        <w:tc>
          <w:tcPr>
            <w:tcW w:w="6327" w:type="dxa"/>
          </w:tcPr>
          <w:p w14:paraId="3C795D17" w14:textId="754DFEF6" w:rsidR="009B7886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Independent professional bodies </w:t>
            </w:r>
            <w:r w:rsidR="009B7886">
              <w:rPr>
                <w:rFonts w:cs="Arial"/>
                <w:szCs w:val="24"/>
              </w:rPr>
              <w:t xml:space="preserve">recognised by The Secretary of State </w:t>
            </w:r>
            <w:r w:rsidRPr="00470870">
              <w:rPr>
                <w:rFonts w:cs="Arial"/>
                <w:szCs w:val="24"/>
              </w:rPr>
              <w:t>who authorise their members to act as insolvency practitioners</w:t>
            </w:r>
            <w:r w:rsidR="009B7886">
              <w:rPr>
                <w:rFonts w:cs="Arial"/>
                <w:szCs w:val="24"/>
              </w:rPr>
              <w:t>. They regulate their members and have rules which their members must follow to be considered fit and proper persons (including requirements for acceptable training, education and experience)</w:t>
            </w:r>
            <w:r w:rsidR="005436C9">
              <w:rPr>
                <w:rFonts w:cs="Arial"/>
                <w:szCs w:val="24"/>
              </w:rPr>
              <w:t>.</w:t>
            </w:r>
            <w:r w:rsidR="009B7886">
              <w:rPr>
                <w:rFonts w:cs="Arial"/>
                <w:szCs w:val="24"/>
              </w:rPr>
              <w:t xml:space="preserve"> </w:t>
            </w:r>
          </w:p>
        </w:tc>
      </w:tr>
      <w:tr w:rsidR="000A15C0" w:rsidRPr="00470870" w14:paraId="3D997CB5" w14:textId="77777777" w:rsidTr="00F575AD">
        <w:tc>
          <w:tcPr>
            <w:tcW w:w="2689" w:type="dxa"/>
          </w:tcPr>
          <w:p w14:paraId="50C56D28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Register of Insolvencies</w:t>
            </w:r>
            <w:r>
              <w:rPr>
                <w:rFonts w:cs="Arial"/>
                <w:szCs w:val="24"/>
              </w:rPr>
              <w:t xml:space="preserve"> (ROI)</w:t>
            </w:r>
          </w:p>
          <w:p w14:paraId="40F98514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</w:p>
        </w:tc>
        <w:tc>
          <w:tcPr>
            <w:tcW w:w="6327" w:type="dxa"/>
          </w:tcPr>
          <w:p w14:paraId="3F73192C" w14:textId="51853BA0" w:rsidR="009B7886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A publicly accessible statutory register </w:t>
            </w:r>
            <w:r w:rsidR="009B7886">
              <w:rPr>
                <w:rFonts w:cs="Arial"/>
                <w:szCs w:val="24"/>
              </w:rPr>
              <w:t xml:space="preserve">that holds details of </w:t>
            </w:r>
            <w:r w:rsidR="00306910">
              <w:rPr>
                <w:rFonts w:cs="Arial"/>
                <w:szCs w:val="24"/>
              </w:rPr>
              <w:t>b</w:t>
            </w:r>
            <w:r w:rsidR="009B7886">
              <w:rPr>
                <w:rFonts w:cs="Arial"/>
                <w:szCs w:val="24"/>
              </w:rPr>
              <w:t>ankruptcy, Protected Trust Deeds (PTDs) and Moratoriums</w:t>
            </w:r>
            <w:r w:rsidR="00306910">
              <w:rPr>
                <w:rFonts w:cs="Arial"/>
                <w:szCs w:val="24"/>
              </w:rPr>
              <w:t xml:space="preserve"> on </w:t>
            </w:r>
            <w:r w:rsidR="002F0A3D">
              <w:rPr>
                <w:rFonts w:cs="Arial"/>
                <w:szCs w:val="24"/>
              </w:rPr>
              <w:t>Diligence</w:t>
            </w:r>
            <w:r w:rsidR="009B7886">
              <w:rPr>
                <w:rFonts w:cs="Arial"/>
                <w:szCs w:val="24"/>
              </w:rPr>
              <w:t xml:space="preserve"> </w:t>
            </w:r>
            <w:r w:rsidR="0076324A">
              <w:rPr>
                <w:rFonts w:cs="Arial"/>
                <w:szCs w:val="24"/>
              </w:rPr>
              <w:t xml:space="preserve">granted </w:t>
            </w:r>
            <w:r w:rsidR="0076324A" w:rsidRPr="00470870">
              <w:rPr>
                <w:rFonts w:cs="Arial"/>
                <w:szCs w:val="24"/>
              </w:rPr>
              <w:t>of</w:t>
            </w:r>
            <w:r w:rsidRPr="00470870">
              <w:rPr>
                <w:rFonts w:cs="Arial"/>
                <w:szCs w:val="24"/>
              </w:rPr>
              <w:t xml:space="preserve"> individuals</w:t>
            </w:r>
            <w:r w:rsidR="009B7886">
              <w:rPr>
                <w:rFonts w:cs="Arial"/>
                <w:szCs w:val="24"/>
              </w:rPr>
              <w:t xml:space="preserve"> in Scotland</w:t>
            </w:r>
            <w:r w:rsidRPr="00470870">
              <w:rPr>
                <w:rFonts w:cs="Arial"/>
                <w:szCs w:val="24"/>
              </w:rPr>
              <w:t xml:space="preserve"> and </w:t>
            </w:r>
            <w:r w:rsidR="009B7886">
              <w:rPr>
                <w:rFonts w:cs="Arial"/>
                <w:szCs w:val="24"/>
              </w:rPr>
              <w:t>liquidations and receiverships of companies</w:t>
            </w:r>
            <w:r w:rsidR="009B7886" w:rsidRPr="00470870">
              <w:rPr>
                <w:rFonts w:cs="Arial"/>
                <w:szCs w:val="24"/>
              </w:rPr>
              <w:t xml:space="preserve"> </w:t>
            </w:r>
            <w:r w:rsidR="009B7886">
              <w:rPr>
                <w:rFonts w:cs="Arial"/>
                <w:szCs w:val="24"/>
              </w:rPr>
              <w:t xml:space="preserve">registered </w:t>
            </w:r>
            <w:r w:rsidRPr="00470870">
              <w:rPr>
                <w:rFonts w:cs="Arial"/>
                <w:szCs w:val="24"/>
              </w:rPr>
              <w:t>in Scotland.</w:t>
            </w:r>
          </w:p>
        </w:tc>
      </w:tr>
      <w:tr w:rsidR="000A15C0" w:rsidRPr="00470870" w14:paraId="422C6A59" w14:textId="77777777" w:rsidTr="00F575AD">
        <w:tc>
          <w:tcPr>
            <w:tcW w:w="2689" w:type="dxa"/>
          </w:tcPr>
          <w:p w14:paraId="44520FC9" w14:textId="254E2511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Revocation</w:t>
            </w:r>
          </w:p>
        </w:tc>
        <w:tc>
          <w:tcPr>
            <w:tcW w:w="6327" w:type="dxa"/>
          </w:tcPr>
          <w:p w14:paraId="1B34584E" w14:textId="0B7FBC4E" w:rsidR="000A15C0" w:rsidRPr="00470870" w:rsidRDefault="0030691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ability of the DAS Administrator to end a DAS Debt Payment Programme (DPP) under certain circumstances, including on the award of bankruptcy following a debtor’s application or </w:t>
            </w:r>
            <w:r w:rsidR="00EC67D5">
              <w:rPr>
                <w:rFonts w:cs="Arial"/>
                <w:szCs w:val="24"/>
              </w:rPr>
              <w:t>g</w:t>
            </w:r>
            <w:r>
              <w:rPr>
                <w:rFonts w:cs="Arial"/>
                <w:szCs w:val="24"/>
              </w:rPr>
              <w:t>rant</w:t>
            </w:r>
            <w:r w:rsidR="00EC67D5">
              <w:rPr>
                <w:rFonts w:cs="Arial"/>
                <w:szCs w:val="24"/>
              </w:rPr>
              <w:t>ing</w:t>
            </w:r>
            <w:r>
              <w:rPr>
                <w:rFonts w:cs="Arial"/>
                <w:szCs w:val="24"/>
              </w:rPr>
              <w:t xml:space="preserve"> a Protected Trust Deed (PTD), failing to satisfy the conditions of the DPP, failing to make full payments over a two month period, making a false statement when applying for a DPP or its variation or the parties to a joint DPP have separated.</w:t>
            </w:r>
          </w:p>
        </w:tc>
      </w:tr>
      <w:tr w:rsidR="000A15C0" w:rsidRPr="00470870" w14:paraId="350A4E00" w14:textId="77777777" w:rsidTr="00F575AD">
        <w:tc>
          <w:tcPr>
            <w:tcW w:w="2689" w:type="dxa"/>
          </w:tcPr>
          <w:p w14:paraId="3CF8B325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Scottish Civil Justice Council</w:t>
            </w:r>
          </w:p>
        </w:tc>
        <w:tc>
          <w:tcPr>
            <w:tcW w:w="6327" w:type="dxa"/>
          </w:tcPr>
          <w:p w14:paraId="2BFD71FA" w14:textId="3F645779" w:rsidR="00306910" w:rsidRPr="0017552B" w:rsidRDefault="00306910" w:rsidP="0017552B">
            <w:pPr>
              <w:rPr>
                <w:rFonts w:cs="Arial"/>
                <w:color w:val="000000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Cs w:val="24"/>
                <w:shd w:val="clear" w:color="auto" w:fill="FFFFFF"/>
              </w:rPr>
              <w:t>A body that</w:t>
            </w:r>
            <w:r w:rsidR="000A15C0" w:rsidRPr="00470870">
              <w:rPr>
                <w:rFonts w:cs="Arial"/>
                <w:color w:val="000000"/>
                <w:szCs w:val="24"/>
                <w:shd w:val="clear" w:color="auto" w:fill="FFFFFF"/>
              </w:rPr>
              <w:t xml:space="preserve"> prepares draft rules of procedure for the civil courts and advises the Lord President on the development of the civil justice system in Scotland</w:t>
            </w:r>
            <w:r w:rsidR="005436C9">
              <w:rPr>
                <w:rFonts w:cs="Arial"/>
                <w:color w:val="000000"/>
                <w:szCs w:val="24"/>
                <w:shd w:val="clear" w:color="auto" w:fill="FFFFFF"/>
              </w:rPr>
              <w:t>.</w:t>
            </w:r>
          </w:p>
        </w:tc>
      </w:tr>
      <w:tr w:rsidR="000A15C0" w:rsidRPr="00470870" w14:paraId="658A9D85" w14:textId="77777777" w:rsidTr="00F575AD">
        <w:tc>
          <w:tcPr>
            <w:tcW w:w="2689" w:type="dxa"/>
          </w:tcPr>
          <w:p w14:paraId="675F2918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lastRenderedPageBreak/>
              <w:t>Sequestration</w:t>
            </w:r>
          </w:p>
        </w:tc>
        <w:tc>
          <w:tcPr>
            <w:tcW w:w="6327" w:type="dxa"/>
          </w:tcPr>
          <w:p w14:paraId="48B8686B" w14:textId="386F49F7" w:rsidR="00306910" w:rsidRPr="0017552B" w:rsidRDefault="000A15C0" w:rsidP="0017552B">
            <w:pPr>
              <w:rPr>
                <w:rFonts w:cs="Arial"/>
                <w:color w:val="000000"/>
                <w:szCs w:val="24"/>
              </w:rPr>
            </w:pPr>
            <w:r w:rsidRPr="00470870">
              <w:rPr>
                <w:rFonts w:cs="Arial"/>
                <w:color w:val="000000"/>
                <w:szCs w:val="24"/>
              </w:rPr>
              <w:t xml:space="preserve">The Scottish legal term for </w:t>
            </w:r>
            <w:r w:rsidR="00306910">
              <w:rPr>
                <w:rFonts w:cs="Arial"/>
                <w:color w:val="000000"/>
                <w:szCs w:val="24"/>
              </w:rPr>
              <w:t xml:space="preserve">personal </w:t>
            </w:r>
            <w:r w:rsidRPr="00470870">
              <w:rPr>
                <w:rFonts w:cs="Arial"/>
                <w:color w:val="000000"/>
                <w:szCs w:val="24"/>
              </w:rPr>
              <w:t>bankruptcy</w:t>
            </w:r>
            <w:r w:rsidR="005436C9">
              <w:rPr>
                <w:rFonts w:cs="Arial"/>
                <w:color w:val="000000"/>
                <w:szCs w:val="24"/>
              </w:rPr>
              <w:t>.</w:t>
            </w:r>
          </w:p>
        </w:tc>
      </w:tr>
      <w:tr w:rsidR="000A15C0" w:rsidRPr="00470870" w14:paraId="0464D658" w14:textId="77777777" w:rsidTr="00F575AD">
        <w:tc>
          <w:tcPr>
            <w:tcW w:w="2689" w:type="dxa"/>
          </w:tcPr>
          <w:p w14:paraId="11C9F08E" w14:textId="177F0670" w:rsidR="000A15C0" w:rsidRPr="00470870" w:rsidRDefault="0030691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Statement of Insolvency Practice 3.3 (</w:t>
            </w:r>
            <w:r w:rsidR="000A15C0" w:rsidRPr="00470870">
              <w:rPr>
                <w:rFonts w:cs="Arial"/>
                <w:szCs w:val="24"/>
              </w:rPr>
              <w:t>SIP 3.3</w:t>
            </w:r>
            <w:r>
              <w:rPr>
                <w:rFonts w:cs="Arial"/>
                <w:szCs w:val="24"/>
              </w:rPr>
              <w:t>)</w:t>
            </w:r>
          </w:p>
          <w:p w14:paraId="0B1E2705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</w:p>
        </w:tc>
        <w:tc>
          <w:tcPr>
            <w:tcW w:w="6327" w:type="dxa"/>
          </w:tcPr>
          <w:p w14:paraId="1ECB9D78" w14:textId="5B7105A9" w:rsidR="000A15C0" w:rsidRPr="00470870" w:rsidRDefault="005436C9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="00306910">
              <w:rPr>
                <w:rFonts w:cs="Arial"/>
                <w:szCs w:val="24"/>
              </w:rPr>
              <w:t xml:space="preserve"> </w:t>
            </w:r>
            <w:r w:rsidR="000A15C0" w:rsidRPr="00470870">
              <w:rPr>
                <w:rFonts w:cs="Arial"/>
                <w:szCs w:val="24"/>
              </w:rPr>
              <w:t xml:space="preserve">set </w:t>
            </w:r>
            <w:r w:rsidR="00306910">
              <w:rPr>
                <w:rFonts w:cs="Arial"/>
                <w:szCs w:val="24"/>
              </w:rPr>
              <w:t xml:space="preserve">of </w:t>
            </w:r>
            <w:r w:rsidR="000A15C0" w:rsidRPr="00470870">
              <w:rPr>
                <w:rFonts w:cs="Arial"/>
                <w:szCs w:val="24"/>
              </w:rPr>
              <w:t xml:space="preserve">principles and key compliance standards which </w:t>
            </w:r>
            <w:r w:rsidR="00306910">
              <w:rPr>
                <w:rFonts w:cs="Arial"/>
                <w:szCs w:val="24"/>
              </w:rPr>
              <w:t xml:space="preserve">run parallel to statutory frameworks which </w:t>
            </w:r>
            <w:r w:rsidR="000A15C0" w:rsidRPr="00470870">
              <w:rPr>
                <w:rFonts w:cs="Arial"/>
                <w:szCs w:val="24"/>
              </w:rPr>
              <w:t>Insolvency Practi</w:t>
            </w:r>
            <w:r w:rsidR="00306910">
              <w:rPr>
                <w:rFonts w:cs="Arial"/>
                <w:szCs w:val="24"/>
              </w:rPr>
              <w:t>ti</w:t>
            </w:r>
            <w:r w:rsidR="000A15C0" w:rsidRPr="00470870">
              <w:rPr>
                <w:rFonts w:cs="Arial"/>
                <w:szCs w:val="24"/>
              </w:rPr>
              <w:t>oners are required to comply</w:t>
            </w:r>
            <w:r w:rsidR="00306910">
              <w:rPr>
                <w:rFonts w:cs="Arial"/>
                <w:szCs w:val="24"/>
              </w:rPr>
              <w:t xml:space="preserve"> with when administering Trust Deeds</w:t>
            </w:r>
            <w:r w:rsidR="000A15C0" w:rsidRPr="00470870">
              <w:rPr>
                <w:rFonts w:cs="Arial"/>
                <w:szCs w:val="24"/>
              </w:rPr>
              <w:t>.</w:t>
            </w:r>
          </w:p>
        </w:tc>
      </w:tr>
      <w:tr w:rsidR="000A15C0" w:rsidRPr="00470870" w14:paraId="6DB1B477" w14:textId="77777777" w:rsidTr="00F575AD">
        <w:tc>
          <w:tcPr>
            <w:tcW w:w="2689" w:type="dxa"/>
          </w:tcPr>
          <w:p w14:paraId="5B5B78D5" w14:textId="0CD00A2E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Standard Financial Statement (SFS)</w:t>
            </w:r>
          </w:p>
        </w:tc>
        <w:tc>
          <w:tcPr>
            <w:tcW w:w="6327" w:type="dxa"/>
          </w:tcPr>
          <w:p w14:paraId="5F3775DE" w14:textId="3E5AC81A" w:rsidR="0030691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The common tool used in England and Wales to assess someone’s income and expenditure. </w:t>
            </w:r>
          </w:p>
        </w:tc>
      </w:tr>
      <w:tr w:rsidR="000A15C0" w:rsidRPr="00470870" w14:paraId="281B31DA" w14:textId="77777777" w:rsidTr="00F575AD">
        <w:tc>
          <w:tcPr>
            <w:tcW w:w="2689" w:type="dxa"/>
          </w:tcPr>
          <w:p w14:paraId="55652BDF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Statutory debt solutions</w:t>
            </w:r>
          </w:p>
          <w:p w14:paraId="2550E08E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</w:p>
        </w:tc>
        <w:tc>
          <w:tcPr>
            <w:tcW w:w="6327" w:type="dxa"/>
          </w:tcPr>
          <w:p w14:paraId="2AC3798F" w14:textId="2858D9AA" w:rsidR="00EC67D5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The debt relief and debt management solutions</w:t>
            </w:r>
            <w:r w:rsidR="005436C9">
              <w:rPr>
                <w:rFonts w:cs="Arial"/>
                <w:szCs w:val="24"/>
              </w:rPr>
              <w:t xml:space="preserve"> in Scotland</w:t>
            </w:r>
            <w:r w:rsidRPr="00470870">
              <w:rPr>
                <w:rFonts w:cs="Arial"/>
                <w:szCs w:val="24"/>
              </w:rPr>
              <w:t xml:space="preserve"> </w:t>
            </w:r>
            <w:r w:rsidR="00EC67D5">
              <w:rPr>
                <w:rFonts w:cs="Arial"/>
                <w:szCs w:val="24"/>
              </w:rPr>
              <w:t xml:space="preserve">which </w:t>
            </w:r>
            <w:r w:rsidRPr="00470870">
              <w:rPr>
                <w:rFonts w:cs="Arial"/>
                <w:szCs w:val="24"/>
              </w:rPr>
              <w:t xml:space="preserve">are </w:t>
            </w:r>
            <w:r w:rsidR="00306910">
              <w:rPr>
                <w:rFonts w:cs="Arial"/>
                <w:szCs w:val="24"/>
              </w:rPr>
              <w:t>b</w:t>
            </w:r>
            <w:r w:rsidR="00306910" w:rsidRPr="00470870">
              <w:rPr>
                <w:rFonts w:cs="Arial"/>
                <w:szCs w:val="24"/>
              </w:rPr>
              <w:t>ankruptcy</w:t>
            </w:r>
            <w:r w:rsidRPr="00470870">
              <w:rPr>
                <w:rFonts w:cs="Arial"/>
                <w:szCs w:val="24"/>
              </w:rPr>
              <w:t>, Protected Trust Deeds</w:t>
            </w:r>
            <w:r w:rsidR="00306910">
              <w:rPr>
                <w:rFonts w:cs="Arial"/>
                <w:szCs w:val="24"/>
              </w:rPr>
              <w:t xml:space="preserve"> (PTD)</w:t>
            </w:r>
            <w:r w:rsidRPr="00470870">
              <w:rPr>
                <w:rFonts w:cs="Arial"/>
                <w:szCs w:val="24"/>
              </w:rPr>
              <w:t>, the Debt Arrangement Scheme</w:t>
            </w:r>
            <w:r w:rsidR="00306910">
              <w:rPr>
                <w:rFonts w:cs="Arial"/>
                <w:szCs w:val="24"/>
              </w:rPr>
              <w:t xml:space="preserve"> (DAS)</w:t>
            </w:r>
            <w:r w:rsidRPr="00470870">
              <w:rPr>
                <w:rFonts w:cs="Arial"/>
                <w:szCs w:val="24"/>
              </w:rPr>
              <w:t xml:space="preserve"> and the Moratorium</w:t>
            </w:r>
            <w:r w:rsidR="00306910">
              <w:rPr>
                <w:rFonts w:cs="Arial"/>
                <w:szCs w:val="24"/>
              </w:rPr>
              <w:t xml:space="preserve"> on Diligence</w:t>
            </w:r>
            <w:r w:rsidRPr="00470870">
              <w:rPr>
                <w:rFonts w:cs="Arial"/>
                <w:szCs w:val="24"/>
              </w:rPr>
              <w:t xml:space="preserve">. </w:t>
            </w:r>
          </w:p>
        </w:tc>
      </w:tr>
      <w:tr w:rsidR="000A15C0" w:rsidRPr="00470870" w14:paraId="172B7DF2" w14:textId="77777777" w:rsidTr="00F575AD">
        <w:tc>
          <w:tcPr>
            <w:tcW w:w="2689" w:type="dxa"/>
          </w:tcPr>
          <w:p w14:paraId="365435F0" w14:textId="002CDF10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Statutory Debt Repayment Plan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6327" w:type="dxa"/>
          </w:tcPr>
          <w:p w14:paraId="57A60570" w14:textId="36255C5A" w:rsidR="0030691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A </w:t>
            </w:r>
            <w:r w:rsidR="00306910">
              <w:rPr>
                <w:rFonts w:cs="Arial"/>
                <w:szCs w:val="24"/>
              </w:rPr>
              <w:t xml:space="preserve">UK </w:t>
            </w:r>
            <w:r w:rsidRPr="00470870">
              <w:rPr>
                <w:rFonts w:cs="Arial"/>
                <w:szCs w:val="24"/>
              </w:rPr>
              <w:t xml:space="preserve">Government run scheme that allows individuals </w:t>
            </w:r>
            <w:r w:rsidR="00306910">
              <w:rPr>
                <w:rFonts w:cs="Arial"/>
                <w:szCs w:val="24"/>
              </w:rPr>
              <w:t xml:space="preserve">in England and Wales </w:t>
            </w:r>
            <w:r w:rsidRPr="00470870">
              <w:rPr>
                <w:rFonts w:cs="Arial"/>
                <w:szCs w:val="24"/>
              </w:rPr>
              <w:t>to repay their debts in full through a debt payment programme over an extended period of time</w:t>
            </w:r>
            <w:r w:rsidR="00306910">
              <w:rPr>
                <w:rFonts w:cs="Arial"/>
                <w:szCs w:val="24"/>
              </w:rPr>
              <w:t xml:space="preserve"> during which creditors are unable to take enforcement action</w:t>
            </w:r>
            <w:r w:rsidRPr="00470870">
              <w:rPr>
                <w:rFonts w:cs="Arial"/>
                <w:szCs w:val="24"/>
              </w:rPr>
              <w:t>.</w:t>
            </w:r>
          </w:p>
        </w:tc>
      </w:tr>
      <w:tr w:rsidR="000A15C0" w:rsidRPr="00470870" w14:paraId="7BFDE133" w14:textId="77777777" w:rsidTr="00F575AD">
        <w:tc>
          <w:tcPr>
            <w:tcW w:w="2689" w:type="dxa"/>
          </w:tcPr>
          <w:p w14:paraId="50316BAC" w14:textId="018D596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Trigger figure</w:t>
            </w:r>
            <w:r w:rsidR="005D1454">
              <w:rPr>
                <w:rFonts w:cs="Arial"/>
                <w:szCs w:val="24"/>
              </w:rPr>
              <w:t>s</w:t>
            </w:r>
          </w:p>
        </w:tc>
        <w:tc>
          <w:tcPr>
            <w:tcW w:w="6327" w:type="dxa"/>
          </w:tcPr>
          <w:p w14:paraId="12FC816D" w14:textId="79780894" w:rsidR="0030691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The spending guidelines set in the Common Financial Tool</w:t>
            </w:r>
            <w:r w:rsidR="00306910">
              <w:rPr>
                <w:rFonts w:cs="Arial"/>
                <w:szCs w:val="24"/>
              </w:rPr>
              <w:t xml:space="preserve"> (CFT)</w:t>
            </w:r>
            <w:r w:rsidRPr="00470870">
              <w:rPr>
                <w:rFonts w:cs="Arial"/>
                <w:szCs w:val="24"/>
              </w:rPr>
              <w:t xml:space="preserve">. </w:t>
            </w:r>
          </w:p>
        </w:tc>
      </w:tr>
      <w:tr w:rsidR="000A15C0" w:rsidRPr="00470870" w14:paraId="4D2D14A9" w14:textId="77777777" w:rsidTr="00F575AD">
        <w:tc>
          <w:tcPr>
            <w:tcW w:w="2689" w:type="dxa"/>
          </w:tcPr>
          <w:p w14:paraId="55B560FB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Trustee</w:t>
            </w:r>
          </w:p>
        </w:tc>
        <w:tc>
          <w:tcPr>
            <w:tcW w:w="6327" w:type="dxa"/>
          </w:tcPr>
          <w:p w14:paraId="2A5655FA" w14:textId="3A28019C" w:rsidR="00306910" w:rsidRPr="00470870" w:rsidRDefault="0030691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p</w:t>
            </w:r>
            <w:r w:rsidR="000A15C0" w:rsidRPr="00470870">
              <w:rPr>
                <w:rFonts w:cs="Arial"/>
                <w:szCs w:val="24"/>
              </w:rPr>
              <w:t xml:space="preserve">erson who administers </w:t>
            </w:r>
            <w:r w:rsidR="000A15C0">
              <w:rPr>
                <w:rFonts w:cs="Arial"/>
                <w:szCs w:val="24"/>
              </w:rPr>
              <w:t>a</w:t>
            </w:r>
            <w:r w:rsidR="000A15C0" w:rsidRPr="00470870">
              <w:rPr>
                <w:rFonts w:cs="Arial"/>
                <w:szCs w:val="24"/>
              </w:rPr>
              <w:t xml:space="preserve"> bankruptcy or trust deed. In </w:t>
            </w:r>
            <w:r>
              <w:rPr>
                <w:rFonts w:cs="Arial"/>
                <w:szCs w:val="24"/>
              </w:rPr>
              <w:t>bankruptcy</w:t>
            </w:r>
            <w:r w:rsidRPr="00470870">
              <w:rPr>
                <w:rFonts w:cs="Arial"/>
                <w:szCs w:val="24"/>
              </w:rPr>
              <w:t xml:space="preserve"> </w:t>
            </w:r>
            <w:r w:rsidR="000A15C0">
              <w:rPr>
                <w:rFonts w:cs="Arial"/>
                <w:szCs w:val="24"/>
              </w:rPr>
              <w:t>a</w:t>
            </w:r>
            <w:r w:rsidR="000A15C0" w:rsidRPr="00470870">
              <w:rPr>
                <w:rFonts w:cs="Arial"/>
                <w:szCs w:val="24"/>
              </w:rPr>
              <w:t xml:space="preserve"> trustee can be either the Accountant in Bankruptcy or a private </w:t>
            </w:r>
            <w:r>
              <w:rPr>
                <w:rFonts w:cs="Arial"/>
                <w:szCs w:val="24"/>
              </w:rPr>
              <w:t>I</w:t>
            </w:r>
            <w:r w:rsidR="000A15C0" w:rsidRPr="00470870">
              <w:rPr>
                <w:rFonts w:cs="Arial"/>
                <w:szCs w:val="24"/>
              </w:rPr>
              <w:t xml:space="preserve">nsolvency </w:t>
            </w:r>
            <w:r>
              <w:rPr>
                <w:rFonts w:cs="Arial"/>
                <w:szCs w:val="24"/>
              </w:rPr>
              <w:t>P</w:t>
            </w:r>
            <w:r w:rsidRPr="00470870">
              <w:rPr>
                <w:rFonts w:cs="Arial"/>
                <w:szCs w:val="24"/>
              </w:rPr>
              <w:t>ractitioner</w:t>
            </w:r>
            <w:r w:rsidR="000A15C0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In Trust Deeds the Trustee must be an Insolvency </w:t>
            </w:r>
            <w:r w:rsidR="005436C9">
              <w:rPr>
                <w:rFonts w:cs="Arial"/>
                <w:szCs w:val="24"/>
              </w:rPr>
              <w:t>Practitioner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0A15C0" w:rsidRPr="00470870" w14:paraId="04C8FD6F" w14:textId="77777777" w:rsidTr="00F575AD">
        <w:tc>
          <w:tcPr>
            <w:tcW w:w="2689" w:type="dxa"/>
          </w:tcPr>
          <w:p w14:paraId="557E841D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Trustee Discharge</w:t>
            </w:r>
          </w:p>
        </w:tc>
        <w:tc>
          <w:tcPr>
            <w:tcW w:w="6327" w:type="dxa"/>
          </w:tcPr>
          <w:p w14:paraId="719F3BE0" w14:textId="5962B3AB" w:rsidR="00306910" w:rsidRPr="00470870" w:rsidRDefault="000A15C0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date the trustee is discharged from </w:t>
            </w:r>
            <w:r w:rsidR="00306910">
              <w:rPr>
                <w:rFonts w:cs="Arial"/>
                <w:szCs w:val="24"/>
              </w:rPr>
              <w:t xml:space="preserve">liability (other than from fraud) after finalising the administration of </w:t>
            </w:r>
            <w:r>
              <w:rPr>
                <w:rFonts w:cs="Arial"/>
                <w:szCs w:val="24"/>
              </w:rPr>
              <w:t xml:space="preserve">the insolvent estate. </w:t>
            </w:r>
          </w:p>
        </w:tc>
      </w:tr>
      <w:tr w:rsidR="000A15C0" w:rsidRPr="00470870" w14:paraId="444B1FDE" w14:textId="77777777" w:rsidTr="00F575AD">
        <w:tc>
          <w:tcPr>
            <w:tcW w:w="2689" w:type="dxa"/>
          </w:tcPr>
          <w:p w14:paraId="2DAF44F2" w14:textId="77777777" w:rsidR="000A15C0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>UK Insolvency Service</w:t>
            </w:r>
          </w:p>
        </w:tc>
        <w:tc>
          <w:tcPr>
            <w:tcW w:w="6327" w:type="dxa"/>
          </w:tcPr>
          <w:p w14:paraId="37F4C58A" w14:textId="7E1D1C44" w:rsidR="00B00EF3" w:rsidRPr="00470870" w:rsidRDefault="000A15C0" w:rsidP="0017552B">
            <w:pPr>
              <w:rPr>
                <w:rFonts w:cs="Arial"/>
                <w:szCs w:val="24"/>
              </w:rPr>
            </w:pPr>
            <w:r w:rsidRPr="00470870">
              <w:rPr>
                <w:rFonts w:cs="Arial"/>
                <w:szCs w:val="24"/>
              </w:rPr>
              <w:t xml:space="preserve">A </w:t>
            </w:r>
            <w:r w:rsidR="00306910">
              <w:rPr>
                <w:rFonts w:cs="Arial"/>
                <w:szCs w:val="24"/>
              </w:rPr>
              <w:t xml:space="preserve">UK </w:t>
            </w:r>
            <w:r w:rsidRPr="00470870">
              <w:rPr>
                <w:rFonts w:cs="Arial"/>
                <w:szCs w:val="24"/>
              </w:rPr>
              <w:t>Government agency</w:t>
            </w:r>
            <w:r>
              <w:rPr>
                <w:rFonts w:cs="Arial"/>
                <w:szCs w:val="24"/>
              </w:rPr>
              <w:t xml:space="preserve"> who are responsible for personal </w:t>
            </w:r>
            <w:r w:rsidR="00306910">
              <w:rPr>
                <w:rFonts w:cs="Arial"/>
                <w:szCs w:val="24"/>
              </w:rPr>
              <w:t xml:space="preserve">(and company) </w:t>
            </w:r>
            <w:r>
              <w:rPr>
                <w:rFonts w:cs="Arial"/>
                <w:szCs w:val="24"/>
              </w:rPr>
              <w:t>insolvency and debt solutions for England and Wales.</w:t>
            </w:r>
          </w:p>
        </w:tc>
      </w:tr>
      <w:tr w:rsidR="009B7886" w:rsidRPr="00470870" w14:paraId="0D8BBCE7" w14:textId="77777777" w:rsidTr="00F575AD">
        <w:tc>
          <w:tcPr>
            <w:tcW w:w="2689" w:type="dxa"/>
          </w:tcPr>
          <w:p w14:paraId="16BDFCCD" w14:textId="57ED11A5" w:rsidR="009B7886" w:rsidRPr="00470870" w:rsidRDefault="009B7886" w:rsidP="001755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Variation</w:t>
            </w:r>
          </w:p>
        </w:tc>
        <w:tc>
          <w:tcPr>
            <w:tcW w:w="6327" w:type="dxa"/>
          </w:tcPr>
          <w:p w14:paraId="1197F481" w14:textId="100BB175" w:rsidR="009B7886" w:rsidRPr="00470870" w:rsidRDefault="009B7886" w:rsidP="0017552B">
            <w:pPr>
              <w:rPr>
                <w:rFonts w:cs="Arial"/>
                <w:szCs w:val="24"/>
              </w:rPr>
            </w:pPr>
            <w:r w:rsidRPr="009B7886">
              <w:rPr>
                <w:rFonts w:cs="Arial"/>
                <w:szCs w:val="24"/>
              </w:rPr>
              <w:t xml:space="preserve">The ability for the trustee to </w:t>
            </w:r>
            <w:r>
              <w:rPr>
                <w:rFonts w:cs="Arial"/>
                <w:szCs w:val="24"/>
              </w:rPr>
              <w:t>alter the monthly contribution payable under a</w:t>
            </w:r>
            <w:r w:rsidRPr="009B7886">
              <w:rPr>
                <w:rFonts w:cs="Arial"/>
                <w:szCs w:val="24"/>
              </w:rPr>
              <w:t xml:space="preserve"> Debtor Contribution Order (DCO) </w:t>
            </w:r>
            <w:r w:rsidRPr="009B7886">
              <w:rPr>
                <w:rFonts w:cs="Arial"/>
                <w:szCs w:val="24"/>
              </w:rPr>
              <w:lastRenderedPageBreak/>
              <w:t>following a change in the debtor’s circumstances</w:t>
            </w:r>
            <w:r>
              <w:rPr>
                <w:rFonts w:cs="Arial"/>
                <w:szCs w:val="24"/>
              </w:rPr>
              <w:t>,</w:t>
            </w:r>
            <w:r w:rsidRPr="009B7886">
              <w:rPr>
                <w:rFonts w:cs="Arial"/>
                <w:szCs w:val="24"/>
              </w:rPr>
              <w:t xml:space="preserve"> which is evidenced by the Common Financial Tool (CFT).</w:t>
            </w:r>
          </w:p>
        </w:tc>
      </w:tr>
    </w:tbl>
    <w:p w14:paraId="47CF131E" w14:textId="266C3CC8" w:rsidR="000A15C0" w:rsidRDefault="000A15C0" w:rsidP="0017552B">
      <w:pPr>
        <w:rPr>
          <w:rFonts w:cs="Arial"/>
          <w:szCs w:val="22"/>
          <w:lang w:val="en-US" w:bidi="en-US"/>
        </w:rPr>
      </w:pPr>
      <w:r>
        <w:rPr>
          <w:rFonts w:cs="Arial"/>
          <w:szCs w:val="22"/>
          <w:lang w:val="en-US" w:bidi="en-US"/>
        </w:rPr>
        <w:lastRenderedPageBreak/>
        <w:br w:type="page"/>
      </w:r>
    </w:p>
    <w:p w14:paraId="7436FAEA" w14:textId="23265ED7" w:rsidR="000A15C0" w:rsidRDefault="0017552B" w:rsidP="00F575AD">
      <w:pPr>
        <w:pStyle w:val="Heading1"/>
      </w:pPr>
      <w:bookmarkStart w:id="2" w:name="_Toc100243420"/>
      <w:r w:rsidRPr="0017552B">
        <w:rPr>
          <w:rStyle w:val="Heading1Char"/>
          <w:b/>
        </w:rPr>
        <w:lastRenderedPageBreak/>
        <w:t>A</w:t>
      </w:r>
      <w:r w:rsidR="00F575AD">
        <w:rPr>
          <w:rStyle w:val="Heading1Char"/>
          <w:b/>
        </w:rPr>
        <w:t>cronyms</w:t>
      </w:r>
      <w:bookmarkEnd w:id="2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Acronyms"/>
        <w:tblDescription w:val="A list of acronyms and their meanings, used throughout the wider review working group reports "/>
      </w:tblPr>
      <w:tblGrid>
        <w:gridCol w:w="1838"/>
        <w:gridCol w:w="7178"/>
      </w:tblGrid>
      <w:tr w:rsidR="0017552B" w14:paraId="599B1A90" w14:textId="77777777" w:rsidTr="0017552B">
        <w:trPr>
          <w:cantSplit/>
          <w:tblHeader/>
        </w:trPr>
        <w:tc>
          <w:tcPr>
            <w:tcW w:w="1838" w:type="dxa"/>
          </w:tcPr>
          <w:p w14:paraId="402BD031" w14:textId="76559C7D" w:rsidR="0017552B" w:rsidRPr="0017552B" w:rsidRDefault="0017552B" w:rsidP="0017552B">
            <w:pPr>
              <w:rPr>
                <w:b/>
              </w:rPr>
            </w:pPr>
            <w:r w:rsidRPr="0017552B">
              <w:rPr>
                <w:b/>
              </w:rPr>
              <w:t>Abbreviation</w:t>
            </w:r>
          </w:p>
        </w:tc>
        <w:tc>
          <w:tcPr>
            <w:tcW w:w="7178" w:type="dxa"/>
          </w:tcPr>
          <w:p w14:paraId="6BDEB38D" w14:textId="43D9A781" w:rsidR="0017552B" w:rsidRPr="0017552B" w:rsidRDefault="00AA7ED4" w:rsidP="0017552B">
            <w:pPr>
              <w:rPr>
                <w:b/>
              </w:rPr>
            </w:pPr>
            <w:r>
              <w:rPr>
                <w:b/>
              </w:rPr>
              <w:t>Full Title</w:t>
            </w:r>
          </w:p>
        </w:tc>
      </w:tr>
      <w:tr w:rsidR="00B31108" w14:paraId="05EF30F7" w14:textId="77777777" w:rsidTr="0017552B">
        <w:tc>
          <w:tcPr>
            <w:tcW w:w="1838" w:type="dxa"/>
          </w:tcPr>
          <w:p w14:paraId="1E5E2ADF" w14:textId="2BFC57DF" w:rsidR="00B31108" w:rsidRDefault="00B31108" w:rsidP="0017552B">
            <w:r w:rsidRPr="000B23E3">
              <w:t>AiB</w:t>
            </w:r>
          </w:p>
        </w:tc>
        <w:tc>
          <w:tcPr>
            <w:tcW w:w="7178" w:type="dxa"/>
          </w:tcPr>
          <w:p w14:paraId="1D9F5E3E" w14:textId="571C4640" w:rsidR="00B31108" w:rsidRDefault="00B31108" w:rsidP="0017552B">
            <w:r w:rsidRPr="000B23E3">
              <w:t>Accountant in Bankruptcy</w:t>
            </w:r>
          </w:p>
        </w:tc>
      </w:tr>
      <w:tr w:rsidR="00B31108" w14:paraId="2E8B22AE" w14:textId="77777777" w:rsidTr="0017552B">
        <w:tc>
          <w:tcPr>
            <w:tcW w:w="1838" w:type="dxa"/>
          </w:tcPr>
          <w:p w14:paraId="44362F4C" w14:textId="495D5446" w:rsidR="00B31108" w:rsidRDefault="00B31108" w:rsidP="0017552B">
            <w:r w:rsidRPr="000B23E3">
              <w:t>ASTRA</w:t>
            </w:r>
          </w:p>
        </w:tc>
        <w:tc>
          <w:tcPr>
            <w:tcW w:w="7178" w:type="dxa"/>
          </w:tcPr>
          <w:p w14:paraId="6DC15FF5" w14:textId="0E84B152" w:rsidR="00B31108" w:rsidRDefault="00B31108" w:rsidP="0017552B">
            <w:r w:rsidRPr="000B23E3">
              <w:t>AiB Supervision of Trust Deeds, Registration and Advertisement system</w:t>
            </w:r>
          </w:p>
        </w:tc>
      </w:tr>
      <w:tr w:rsidR="00B31108" w14:paraId="5CB9D0DB" w14:textId="77777777" w:rsidTr="0017552B">
        <w:tc>
          <w:tcPr>
            <w:tcW w:w="1838" w:type="dxa"/>
          </w:tcPr>
          <w:p w14:paraId="2ABE3D9C" w14:textId="5794F743" w:rsidR="00B31108" w:rsidRDefault="00B31108" w:rsidP="0017552B">
            <w:r w:rsidRPr="000B23E3">
              <w:t>BASYS</w:t>
            </w:r>
          </w:p>
        </w:tc>
        <w:tc>
          <w:tcPr>
            <w:tcW w:w="7178" w:type="dxa"/>
          </w:tcPr>
          <w:p w14:paraId="5F4E5FB0" w14:textId="662F5D08" w:rsidR="00B31108" w:rsidRDefault="00B31108" w:rsidP="0017552B">
            <w:r w:rsidRPr="000B23E3">
              <w:t>Bankruptcy Administration System</w:t>
            </w:r>
          </w:p>
        </w:tc>
      </w:tr>
      <w:tr w:rsidR="00B31108" w14:paraId="213259D5" w14:textId="77777777" w:rsidTr="0017552B">
        <w:tc>
          <w:tcPr>
            <w:tcW w:w="1838" w:type="dxa"/>
          </w:tcPr>
          <w:p w14:paraId="5F8E4D4E" w14:textId="0266CBBC" w:rsidR="00B31108" w:rsidRDefault="00B31108" w:rsidP="0017552B">
            <w:r>
              <w:t>BRO</w:t>
            </w:r>
          </w:p>
        </w:tc>
        <w:tc>
          <w:tcPr>
            <w:tcW w:w="7178" w:type="dxa"/>
          </w:tcPr>
          <w:p w14:paraId="71388AD1" w14:textId="4BB0EABE" w:rsidR="00B31108" w:rsidRDefault="00B31108" w:rsidP="0017552B">
            <w:r>
              <w:t>Bankruptcy Restriction Order</w:t>
            </w:r>
          </w:p>
        </w:tc>
      </w:tr>
      <w:tr w:rsidR="00B31108" w14:paraId="24745113" w14:textId="77777777" w:rsidTr="0017552B">
        <w:tc>
          <w:tcPr>
            <w:tcW w:w="1838" w:type="dxa"/>
          </w:tcPr>
          <w:p w14:paraId="23ACF50E" w14:textId="2B72C2B3" w:rsidR="00B31108" w:rsidRDefault="00B31108" w:rsidP="0017552B">
            <w:r w:rsidRPr="000B23E3">
              <w:t>CFS</w:t>
            </w:r>
          </w:p>
        </w:tc>
        <w:tc>
          <w:tcPr>
            <w:tcW w:w="7178" w:type="dxa"/>
          </w:tcPr>
          <w:p w14:paraId="3D41E829" w14:textId="7D23E6C8" w:rsidR="00B31108" w:rsidRDefault="00B31108" w:rsidP="0017552B">
            <w:r w:rsidRPr="000B23E3">
              <w:t>Common Financial Statement</w:t>
            </w:r>
          </w:p>
        </w:tc>
      </w:tr>
      <w:tr w:rsidR="00B31108" w14:paraId="47CCB941" w14:textId="77777777" w:rsidTr="0017552B">
        <w:tc>
          <w:tcPr>
            <w:tcW w:w="1838" w:type="dxa"/>
          </w:tcPr>
          <w:p w14:paraId="1D571A20" w14:textId="2C9C012A" w:rsidR="00B31108" w:rsidRDefault="00B31108" w:rsidP="0017552B">
            <w:r w:rsidRPr="000B23E3">
              <w:t>CFT</w:t>
            </w:r>
          </w:p>
        </w:tc>
        <w:tc>
          <w:tcPr>
            <w:tcW w:w="7178" w:type="dxa"/>
          </w:tcPr>
          <w:p w14:paraId="3191F765" w14:textId="23C76F84" w:rsidR="00B31108" w:rsidRDefault="00B31108" w:rsidP="0017552B">
            <w:r w:rsidRPr="000B23E3">
              <w:t>Common Financial Tool</w:t>
            </w:r>
          </w:p>
        </w:tc>
      </w:tr>
      <w:tr w:rsidR="00B31108" w14:paraId="1D8245EC" w14:textId="77777777" w:rsidTr="0017552B">
        <w:tc>
          <w:tcPr>
            <w:tcW w:w="1838" w:type="dxa"/>
          </w:tcPr>
          <w:p w14:paraId="13EBCB1B" w14:textId="31A2397E" w:rsidR="00B31108" w:rsidRDefault="00B31108" w:rsidP="0017552B">
            <w:r w:rsidRPr="000B23E3">
              <w:t>DAS</w:t>
            </w:r>
          </w:p>
        </w:tc>
        <w:tc>
          <w:tcPr>
            <w:tcW w:w="7178" w:type="dxa"/>
          </w:tcPr>
          <w:p w14:paraId="57DB9224" w14:textId="4BB270A0" w:rsidR="00B31108" w:rsidRDefault="00B31108" w:rsidP="0017552B">
            <w:r w:rsidRPr="000B23E3">
              <w:t>Debt Arrangement Scheme</w:t>
            </w:r>
          </w:p>
        </w:tc>
      </w:tr>
      <w:tr w:rsidR="00B31108" w14:paraId="4C74B814" w14:textId="77777777" w:rsidTr="0017552B">
        <w:tc>
          <w:tcPr>
            <w:tcW w:w="1838" w:type="dxa"/>
          </w:tcPr>
          <w:p w14:paraId="29C13638" w14:textId="0A629841" w:rsidR="00B31108" w:rsidRDefault="00B31108" w:rsidP="0017552B">
            <w:r w:rsidRPr="000B23E3">
              <w:t>DCO</w:t>
            </w:r>
          </w:p>
        </w:tc>
        <w:tc>
          <w:tcPr>
            <w:tcW w:w="7178" w:type="dxa"/>
          </w:tcPr>
          <w:p w14:paraId="7449C0C2" w14:textId="73497DC4" w:rsidR="00B31108" w:rsidRDefault="00B31108" w:rsidP="0017552B">
            <w:r w:rsidRPr="000B23E3">
              <w:t>Debtor Contribution Order</w:t>
            </w:r>
          </w:p>
        </w:tc>
      </w:tr>
      <w:tr w:rsidR="00B31108" w14:paraId="0A5A8156" w14:textId="77777777" w:rsidTr="0017552B">
        <w:tc>
          <w:tcPr>
            <w:tcW w:w="1838" w:type="dxa"/>
          </w:tcPr>
          <w:p w14:paraId="47D5B220" w14:textId="181397F8" w:rsidR="00B31108" w:rsidRPr="000B23E3" w:rsidRDefault="00B31108" w:rsidP="0017552B">
            <w:r w:rsidRPr="000B23E3">
              <w:t>DPP</w:t>
            </w:r>
          </w:p>
        </w:tc>
        <w:tc>
          <w:tcPr>
            <w:tcW w:w="7178" w:type="dxa"/>
          </w:tcPr>
          <w:p w14:paraId="6C1F5DB3" w14:textId="2487B937" w:rsidR="00B31108" w:rsidRPr="000B23E3" w:rsidRDefault="00B31108" w:rsidP="0017552B">
            <w:r w:rsidRPr="000B23E3">
              <w:t>Debt Payment Programme</w:t>
            </w:r>
          </w:p>
        </w:tc>
      </w:tr>
      <w:tr w:rsidR="00B31108" w14:paraId="0A6D6F8B" w14:textId="77777777" w:rsidTr="0017552B">
        <w:tc>
          <w:tcPr>
            <w:tcW w:w="1838" w:type="dxa"/>
          </w:tcPr>
          <w:p w14:paraId="1E261C17" w14:textId="030CB2A9" w:rsidR="00B31108" w:rsidRPr="000B23E3" w:rsidRDefault="00B31108" w:rsidP="0017552B">
            <w:r>
              <w:t>DRO</w:t>
            </w:r>
          </w:p>
        </w:tc>
        <w:tc>
          <w:tcPr>
            <w:tcW w:w="7178" w:type="dxa"/>
          </w:tcPr>
          <w:p w14:paraId="37106131" w14:textId="6026F96D" w:rsidR="00B31108" w:rsidRPr="000B23E3" w:rsidRDefault="00B31108" w:rsidP="0017552B">
            <w:r>
              <w:t>Debt Relief Order</w:t>
            </w:r>
          </w:p>
        </w:tc>
      </w:tr>
      <w:tr w:rsidR="00B31108" w14:paraId="6C0D95FD" w14:textId="77777777" w:rsidTr="0017552B">
        <w:tc>
          <w:tcPr>
            <w:tcW w:w="1838" w:type="dxa"/>
          </w:tcPr>
          <w:p w14:paraId="66E8E2A6" w14:textId="29B0D77D" w:rsidR="00B31108" w:rsidRPr="000B23E3" w:rsidRDefault="00B31108" w:rsidP="0017552B">
            <w:r w:rsidRPr="000B23E3">
              <w:t>eDEN</w:t>
            </w:r>
          </w:p>
        </w:tc>
        <w:tc>
          <w:tcPr>
            <w:tcW w:w="7178" w:type="dxa"/>
          </w:tcPr>
          <w:p w14:paraId="0F4BDA97" w14:textId="3E694007" w:rsidR="00B31108" w:rsidRPr="000B23E3" w:rsidRDefault="00B31108" w:rsidP="0017552B">
            <w:r w:rsidRPr="000B23E3">
              <w:t>Enhanced DAS Electronic Network</w:t>
            </w:r>
          </w:p>
        </w:tc>
      </w:tr>
      <w:tr w:rsidR="00B31108" w14:paraId="79000F29" w14:textId="77777777" w:rsidTr="0017552B">
        <w:tc>
          <w:tcPr>
            <w:tcW w:w="1838" w:type="dxa"/>
          </w:tcPr>
          <w:p w14:paraId="1569BFBE" w14:textId="4FEFE3B3" w:rsidR="00B31108" w:rsidRPr="000B23E3" w:rsidRDefault="00B31108" w:rsidP="0017552B">
            <w:r w:rsidRPr="000B23E3">
              <w:t>FCA</w:t>
            </w:r>
          </w:p>
        </w:tc>
        <w:tc>
          <w:tcPr>
            <w:tcW w:w="7178" w:type="dxa"/>
          </w:tcPr>
          <w:p w14:paraId="14ED91D3" w14:textId="55646793" w:rsidR="00B31108" w:rsidRPr="000B23E3" w:rsidRDefault="00B31108" w:rsidP="0017552B">
            <w:r w:rsidRPr="000B23E3">
              <w:t>Financial Conduct Authority</w:t>
            </w:r>
          </w:p>
        </w:tc>
      </w:tr>
      <w:tr w:rsidR="00B31108" w14:paraId="6FCEA3AC" w14:textId="77777777" w:rsidTr="0017552B">
        <w:tc>
          <w:tcPr>
            <w:tcW w:w="1838" w:type="dxa"/>
          </w:tcPr>
          <w:p w14:paraId="0CFD41C6" w14:textId="4FBB854D" w:rsidR="00B31108" w:rsidRPr="000B23E3" w:rsidRDefault="00B31108" w:rsidP="0017552B">
            <w:r>
              <w:t>HMRC</w:t>
            </w:r>
          </w:p>
        </w:tc>
        <w:tc>
          <w:tcPr>
            <w:tcW w:w="7178" w:type="dxa"/>
          </w:tcPr>
          <w:p w14:paraId="6AD1058B" w14:textId="28E84E33" w:rsidR="00B31108" w:rsidRPr="000B23E3" w:rsidRDefault="00B31108" w:rsidP="0017552B">
            <w:r>
              <w:t>Her Majesty’s Revenue and Customs</w:t>
            </w:r>
          </w:p>
        </w:tc>
      </w:tr>
      <w:tr w:rsidR="00B31108" w14:paraId="758E6E90" w14:textId="77777777" w:rsidTr="0017552B">
        <w:tc>
          <w:tcPr>
            <w:tcW w:w="1838" w:type="dxa"/>
          </w:tcPr>
          <w:p w14:paraId="16E40B5D" w14:textId="54743D2A" w:rsidR="00B31108" w:rsidRPr="000B23E3" w:rsidRDefault="00B31108" w:rsidP="0017552B">
            <w:r w:rsidRPr="000B23E3">
              <w:t>IP</w:t>
            </w:r>
          </w:p>
        </w:tc>
        <w:tc>
          <w:tcPr>
            <w:tcW w:w="7178" w:type="dxa"/>
          </w:tcPr>
          <w:p w14:paraId="4594B91D" w14:textId="4B059FEB" w:rsidR="00B31108" w:rsidRPr="000B23E3" w:rsidRDefault="00B31108" w:rsidP="0017552B">
            <w:r w:rsidRPr="000B23E3">
              <w:t>Insolvency Practitioner</w:t>
            </w:r>
          </w:p>
        </w:tc>
      </w:tr>
      <w:tr w:rsidR="00B31108" w14:paraId="1AAE45D9" w14:textId="77777777" w:rsidTr="0017552B">
        <w:tc>
          <w:tcPr>
            <w:tcW w:w="1838" w:type="dxa"/>
          </w:tcPr>
          <w:p w14:paraId="3C0E2572" w14:textId="7913DAF2" w:rsidR="00B31108" w:rsidRPr="000B23E3" w:rsidRDefault="00B31108" w:rsidP="0017552B">
            <w:r w:rsidRPr="000B23E3">
              <w:t>IT</w:t>
            </w:r>
          </w:p>
        </w:tc>
        <w:tc>
          <w:tcPr>
            <w:tcW w:w="7178" w:type="dxa"/>
          </w:tcPr>
          <w:p w14:paraId="05BF65BA" w14:textId="732A995E" w:rsidR="00B31108" w:rsidRPr="000B23E3" w:rsidRDefault="00B31108" w:rsidP="0017552B">
            <w:r w:rsidRPr="000B23E3">
              <w:t>Information Technology</w:t>
            </w:r>
          </w:p>
        </w:tc>
      </w:tr>
      <w:tr w:rsidR="00B31108" w14:paraId="6089D83D" w14:textId="77777777" w:rsidTr="0017552B">
        <w:tc>
          <w:tcPr>
            <w:tcW w:w="1838" w:type="dxa"/>
          </w:tcPr>
          <w:p w14:paraId="5328BF76" w14:textId="5CF6160C" w:rsidR="00B31108" w:rsidRPr="000B23E3" w:rsidRDefault="00B31108" w:rsidP="0017552B">
            <w:r>
              <w:t>LILA</w:t>
            </w:r>
          </w:p>
        </w:tc>
        <w:tc>
          <w:tcPr>
            <w:tcW w:w="7178" w:type="dxa"/>
          </w:tcPr>
          <w:p w14:paraId="5D45F9B7" w14:textId="19E69B77" w:rsidR="00B31108" w:rsidRPr="000B23E3" w:rsidRDefault="00B31108" w:rsidP="0017552B">
            <w:r>
              <w:t>Low Income Low Asset</w:t>
            </w:r>
          </w:p>
        </w:tc>
      </w:tr>
      <w:tr w:rsidR="00B31108" w14:paraId="520C4C45" w14:textId="77777777" w:rsidTr="0017552B">
        <w:tc>
          <w:tcPr>
            <w:tcW w:w="1838" w:type="dxa"/>
          </w:tcPr>
          <w:p w14:paraId="2E530295" w14:textId="7540D9D7" w:rsidR="00B31108" w:rsidRDefault="00B31108" w:rsidP="0017552B">
            <w:r w:rsidRPr="000B23E3">
              <w:t>MAP</w:t>
            </w:r>
          </w:p>
        </w:tc>
        <w:tc>
          <w:tcPr>
            <w:tcW w:w="7178" w:type="dxa"/>
          </w:tcPr>
          <w:p w14:paraId="4196D23D" w14:textId="13961346" w:rsidR="00B31108" w:rsidRDefault="00B31108" w:rsidP="0017552B">
            <w:r w:rsidRPr="000B23E3">
              <w:t>Minimal Asset Process</w:t>
            </w:r>
          </w:p>
        </w:tc>
      </w:tr>
      <w:tr w:rsidR="00B31108" w14:paraId="6A317A6D" w14:textId="77777777" w:rsidTr="0017552B">
        <w:tc>
          <w:tcPr>
            <w:tcW w:w="1838" w:type="dxa"/>
          </w:tcPr>
          <w:p w14:paraId="40BAE6A3" w14:textId="3E480A2A" w:rsidR="00B31108" w:rsidRDefault="00B31108" w:rsidP="0017552B">
            <w:r w:rsidRPr="000B23E3">
              <w:t>MIS</w:t>
            </w:r>
          </w:p>
        </w:tc>
        <w:tc>
          <w:tcPr>
            <w:tcW w:w="7178" w:type="dxa"/>
          </w:tcPr>
          <w:p w14:paraId="5D2EDF18" w14:textId="47A14550" w:rsidR="00B31108" w:rsidRDefault="00B31108" w:rsidP="0017552B">
            <w:r w:rsidRPr="000B23E3">
              <w:t>Minimum Income St</w:t>
            </w:r>
            <w:r>
              <w:t>andards</w:t>
            </w:r>
          </w:p>
        </w:tc>
      </w:tr>
      <w:tr w:rsidR="00B31108" w14:paraId="43DAB941" w14:textId="77777777" w:rsidTr="0017552B">
        <w:tc>
          <w:tcPr>
            <w:tcW w:w="1838" w:type="dxa"/>
          </w:tcPr>
          <w:p w14:paraId="7464C054" w14:textId="3BE9EAE6" w:rsidR="00B31108" w:rsidRDefault="00B31108" w:rsidP="0017552B">
            <w:r w:rsidRPr="000B23E3">
              <w:t>PIP</w:t>
            </w:r>
          </w:p>
        </w:tc>
        <w:tc>
          <w:tcPr>
            <w:tcW w:w="7178" w:type="dxa"/>
          </w:tcPr>
          <w:p w14:paraId="583351EC" w14:textId="687BC193" w:rsidR="00B31108" w:rsidRDefault="00B31108" w:rsidP="0017552B">
            <w:r w:rsidRPr="00CD368A">
              <w:t xml:space="preserve">Personal Independence Payment </w:t>
            </w:r>
          </w:p>
        </w:tc>
      </w:tr>
      <w:tr w:rsidR="00B31108" w14:paraId="4F00DD89" w14:textId="77777777" w:rsidTr="0017552B">
        <w:tc>
          <w:tcPr>
            <w:tcW w:w="1838" w:type="dxa"/>
          </w:tcPr>
          <w:p w14:paraId="0DA1F007" w14:textId="32A8B886" w:rsidR="00B31108" w:rsidRPr="000B23E3" w:rsidRDefault="00B31108" w:rsidP="0017552B">
            <w:r w:rsidRPr="000B23E3">
              <w:t>PTD</w:t>
            </w:r>
          </w:p>
        </w:tc>
        <w:tc>
          <w:tcPr>
            <w:tcW w:w="7178" w:type="dxa"/>
          </w:tcPr>
          <w:p w14:paraId="188204DA" w14:textId="691D4C3A" w:rsidR="00B31108" w:rsidRPr="00CD368A" w:rsidRDefault="00B31108" w:rsidP="0017552B">
            <w:r w:rsidRPr="000B23E3">
              <w:t>Protected Trust Deed</w:t>
            </w:r>
          </w:p>
        </w:tc>
      </w:tr>
      <w:tr w:rsidR="00B31108" w14:paraId="0F233016" w14:textId="77777777" w:rsidTr="0017552B">
        <w:tc>
          <w:tcPr>
            <w:tcW w:w="1838" w:type="dxa"/>
          </w:tcPr>
          <w:p w14:paraId="0C7385C6" w14:textId="7ED054BA" w:rsidR="00B31108" w:rsidRPr="000B23E3" w:rsidRDefault="00B31108" w:rsidP="0017552B">
            <w:r>
              <w:t>ROI</w:t>
            </w:r>
          </w:p>
        </w:tc>
        <w:tc>
          <w:tcPr>
            <w:tcW w:w="7178" w:type="dxa"/>
          </w:tcPr>
          <w:p w14:paraId="46DFB4AD" w14:textId="06EC6750" w:rsidR="00B31108" w:rsidRPr="00CD368A" w:rsidRDefault="00B31108" w:rsidP="0017552B">
            <w:r>
              <w:t>Register of Insolvencies</w:t>
            </w:r>
          </w:p>
        </w:tc>
      </w:tr>
      <w:tr w:rsidR="00B31108" w14:paraId="337E9169" w14:textId="77777777" w:rsidTr="0017552B">
        <w:tc>
          <w:tcPr>
            <w:tcW w:w="1838" w:type="dxa"/>
          </w:tcPr>
          <w:p w14:paraId="79209C92" w14:textId="328ACD74" w:rsidR="00B31108" w:rsidRPr="000B23E3" w:rsidRDefault="00B31108" w:rsidP="0017552B">
            <w:r w:rsidRPr="005436C9">
              <w:t>RPB</w:t>
            </w:r>
          </w:p>
        </w:tc>
        <w:tc>
          <w:tcPr>
            <w:tcW w:w="7178" w:type="dxa"/>
          </w:tcPr>
          <w:p w14:paraId="73237CFB" w14:textId="25EFE36D" w:rsidR="00B31108" w:rsidRPr="00CD368A" w:rsidRDefault="00B31108" w:rsidP="0017552B">
            <w:r w:rsidRPr="005436C9">
              <w:t>Recognised Professional Body</w:t>
            </w:r>
          </w:p>
        </w:tc>
      </w:tr>
      <w:tr w:rsidR="00B31108" w14:paraId="0B71E599" w14:textId="77777777" w:rsidTr="0017552B">
        <w:tc>
          <w:tcPr>
            <w:tcW w:w="1838" w:type="dxa"/>
          </w:tcPr>
          <w:p w14:paraId="14ADCB36" w14:textId="70EF6626" w:rsidR="00B31108" w:rsidRPr="005436C9" w:rsidRDefault="00B31108" w:rsidP="0017552B">
            <w:r>
              <w:t>SIP</w:t>
            </w:r>
          </w:p>
        </w:tc>
        <w:tc>
          <w:tcPr>
            <w:tcW w:w="7178" w:type="dxa"/>
          </w:tcPr>
          <w:p w14:paraId="6A59A092" w14:textId="62A4BB43" w:rsidR="00B31108" w:rsidRPr="005436C9" w:rsidRDefault="00B31108" w:rsidP="0017552B">
            <w:r>
              <w:t>Statement of Insolvency Practice</w:t>
            </w:r>
          </w:p>
        </w:tc>
      </w:tr>
      <w:tr w:rsidR="00B31108" w14:paraId="24BE20CB" w14:textId="77777777" w:rsidTr="0017552B">
        <w:tc>
          <w:tcPr>
            <w:tcW w:w="1838" w:type="dxa"/>
          </w:tcPr>
          <w:p w14:paraId="7B86266B" w14:textId="468B42AB" w:rsidR="00B31108" w:rsidRPr="005436C9" w:rsidRDefault="00B31108" w:rsidP="0017552B">
            <w:r>
              <w:t>SFS</w:t>
            </w:r>
          </w:p>
        </w:tc>
        <w:tc>
          <w:tcPr>
            <w:tcW w:w="7178" w:type="dxa"/>
          </w:tcPr>
          <w:p w14:paraId="647CD9D8" w14:textId="11BEE3FA" w:rsidR="00B31108" w:rsidRPr="005436C9" w:rsidRDefault="00B31108" w:rsidP="0017552B">
            <w:r>
              <w:t>Standard Financial Statement</w:t>
            </w:r>
          </w:p>
        </w:tc>
      </w:tr>
    </w:tbl>
    <w:p w14:paraId="61B93E37" w14:textId="1E0F77E2" w:rsidR="00B31108" w:rsidRDefault="00B31108" w:rsidP="0017552B"/>
    <w:p w14:paraId="40AEA2E1" w14:textId="289EEA77" w:rsidR="0017552B" w:rsidRDefault="0017552B" w:rsidP="0017552B">
      <w:pPr>
        <w:rPr>
          <w:b/>
          <w:caps/>
        </w:rPr>
      </w:pPr>
    </w:p>
    <w:p w14:paraId="65DC919D" w14:textId="3B5A0F7F" w:rsidR="000A15C0" w:rsidRDefault="0017552B" w:rsidP="00F575AD">
      <w:pPr>
        <w:pStyle w:val="Heading1"/>
      </w:pPr>
      <w:bookmarkStart w:id="3" w:name="_Toc100243421"/>
      <w:r w:rsidRPr="0017552B">
        <w:lastRenderedPageBreak/>
        <w:t>L</w:t>
      </w:r>
      <w:r w:rsidR="00F575AD">
        <w:t>egislation</w:t>
      </w:r>
      <w:bookmarkEnd w:id="3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Legislation"/>
        <w:tblDescription w:val="A list of the legislation and their abbreviation, used throughout the wider review working group reports "/>
      </w:tblPr>
      <w:tblGrid>
        <w:gridCol w:w="3256"/>
        <w:gridCol w:w="5760"/>
      </w:tblGrid>
      <w:tr w:rsidR="0017552B" w14:paraId="7B42B943" w14:textId="77777777" w:rsidTr="00F575AD">
        <w:trPr>
          <w:cantSplit/>
          <w:tblHeader/>
        </w:trPr>
        <w:tc>
          <w:tcPr>
            <w:tcW w:w="3256" w:type="dxa"/>
          </w:tcPr>
          <w:p w14:paraId="1DEE8AA0" w14:textId="3BBEF0DB" w:rsidR="0017552B" w:rsidRPr="004356B5" w:rsidRDefault="0017552B" w:rsidP="004356B5">
            <w:pPr>
              <w:rPr>
                <w:b/>
              </w:rPr>
            </w:pPr>
            <w:r w:rsidRPr="004356B5">
              <w:rPr>
                <w:b/>
              </w:rPr>
              <w:t>Reference</w:t>
            </w:r>
          </w:p>
        </w:tc>
        <w:tc>
          <w:tcPr>
            <w:tcW w:w="5760" w:type="dxa"/>
          </w:tcPr>
          <w:p w14:paraId="6348CF39" w14:textId="18D67169" w:rsidR="004356B5" w:rsidRPr="004356B5" w:rsidRDefault="0017552B" w:rsidP="00F575AD">
            <w:pPr>
              <w:rPr>
                <w:rFonts w:eastAsiaTheme="minorHAnsi" w:cs="Arial"/>
                <w:b/>
                <w:szCs w:val="24"/>
              </w:rPr>
            </w:pPr>
            <w:r w:rsidRPr="004356B5">
              <w:rPr>
                <w:rFonts w:eastAsiaTheme="minorHAnsi" w:cs="Arial"/>
                <w:b/>
                <w:szCs w:val="24"/>
              </w:rPr>
              <w:t>Legislation</w:t>
            </w:r>
          </w:p>
        </w:tc>
      </w:tr>
      <w:tr w:rsidR="00EC67D5" w14:paraId="06CBADDA" w14:textId="77777777" w:rsidTr="00F575AD">
        <w:tc>
          <w:tcPr>
            <w:tcW w:w="3256" w:type="dxa"/>
          </w:tcPr>
          <w:p w14:paraId="221ABD4A" w14:textId="3C2C09CB" w:rsidR="00EC67D5" w:rsidRDefault="00EC67D5" w:rsidP="004356B5">
            <w:r>
              <w:t>The 1985 Act</w:t>
            </w:r>
          </w:p>
        </w:tc>
        <w:tc>
          <w:tcPr>
            <w:tcW w:w="5760" w:type="dxa"/>
          </w:tcPr>
          <w:p w14:paraId="76DC91A0" w14:textId="3AEFB2FD" w:rsidR="00EC67D5" w:rsidRDefault="00EC67D5" w:rsidP="004356B5">
            <w:r>
              <w:rPr>
                <w:rFonts w:eastAsiaTheme="minorHAnsi" w:cs="Arial"/>
                <w:szCs w:val="24"/>
              </w:rPr>
              <w:t xml:space="preserve">The </w:t>
            </w:r>
            <w:r w:rsidRPr="00DF0D86">
              <w:rPr>
                <w:rFonts w:eastAsiaTheme="minorHAnsi" w:cs="Arial"/>
                <w:szCs w:val="24"/>
              </w:rPr>
              <w:t xml:space="preserve">Bankruptcy </w:t>
            </w:r>
            <w:r>
              <w:rPr>
                <w:rFonts w:eastAsiaTheme="minorHAnsi" w:cs="Arial"/>
                <w:szCs w:val="24"/>
              </w:rPr>
              <w:t>(</w:t>
            </w:r>
            <w:r w:rsidRPr="00DF0D86">
              <w:rPr>
                <w:rFonts w:eastAsiaTheme="minorHAnsi" w:cs="Arial"/>
                <w:szCs w:val="24"/>
              </w:rPr>
              <w:t>Scotland</w:t>
            </w:r>
            <w:r>
              <w:rPr>
                <w:rFonts w:eastAsiaTheme="minorHAnsi" w:cs="Arial"/>
                <w:szCs w:val="24"/>
              </w:rPr>
              <w:t>)</w:t>
            </w:r>
            <w:r w:rsidRPr="00DF0D86">
              <w:rPr>
                <w:rFonts w:eastAsiaTheme="minorHAnsi" w:cs="Arial"/>
                <w:szCs w:val="24"/>
              </w:rPr>
              <w:t xml:space="preserve"> Act 1985</w:t>
            </w:r>
          </w:p>
        </w:tc>
      </w:tr>
      <w:tr w:rsidR="00EC67D5" w14:paraId="689935A9" w14:textId="77777777" w:rsidTr="00F575AD">
        <w:tc>
          <w:tcPr>
            <w:tcW w:w="3256" w:type="dxa"/>
          </w:tcPr>
          <w:p w14:paraId="4ED92816" w14:textId="746DC0C1" w:rsidR="00EC67D5" w:rsidRDefault="00EC67D5" w:rsidP="004356B5">
            <w:r>
              <w:t>The 2007 Act</w:t>
            </w:r>
          </w:p>
        </w:tc>
        <w:tc>
          <w:tcPr>
            <w:tcW w:w="5760" w:type="dxa"/>
          </w:tcPr>
          <w:p w14:paraId="7BE3AE0D" w14:textId="3D110961" w:rsidR="00EC67D5" w:rsidRDefault="00EC67D5" w:rsidP="004356B5">
            <w:r>
              <w:t>The Bankruptcy and Diligence etc. (Scotland) Act 2007</w:t>
            </w:r>
          </w:p>
        </w:tc>
      </w:tr>
      <w:tr w:rsidR="00EC67D5" w14:paraId="7F6EDC96" w14:textId="77777777" w:rsidTr="00F575AD">
        <w:tc>
          <w:tcPr>
            <w:tcW w:w="3256" w:type="dxa"/>
          </w:tcPr>
          <w:p w14:paraId="58AC87DC" w14:textId="02D6DE69" w:rsidR="00EC67D5" w:rsidRDefault="00EC67D5" w:rsidP="004356B5">
            <w:r w:rsidRPr="00560E46">
              <w:t>The 2014 Act</w:t>
            </w:r>
          </w:p>
        </w:tc>
        <w:tc>
          <w:tcPr>
            <w:tcW w:w="5760" w:type="dxa"/>
          </w:tcPr>
          <w:p w14:paraId="6DE4D93D" w14:textId="63B9D5E1" w:rsidR="00EC67D5" w:rsidRDefault="00EC67D5" w:rsidP="004356B5">
            <w:r>
              <w:t>The Bankruptcy and Debt Advice (Scotland) Act 2014</w:t>
            </w:r>
          </w:p>
        </w:tc>
      </w:tr>
      <w:tr w:rsidR="00EC67D5" w14:paraId="65A0BE50" w14:textId="77777777" w:rsidTr="00F575AD">
        <w:tc>
          <w:tcPr>
            <w:tcW w:w="3256" w:type="dxa"/>
          </w:tcPr>
          <w:p w14:paraId="5B116831" w14:textId="4A7AAC8D" w:rsidR="00EC67D5" w:rsidRDefault="00EC67D5" w:rsidP="004356B5">
            <w:r>
              <w:t>The 2016 Act</w:t>
            </w:r>
          </w:p>
        </w:tc>
        <w:tc>
          <w:tcPr>
            <w:tcW w:w="5760" w:type="dxa"/>
          </w:tcPr>
          <w:p w14:paraId="45D709D3" w14:textId="50775D2B" w:rsidR="00EC67D5" w:rsidRDefault="00EC67D5" w:rsidP="004356B5">
            <w:r>
              <w:t>The Bankruptcy (Scotland) Act 2016</w:t>
            </w:r>
          </w:p>
        </w:tc>
      </w:tr>
      <w:tr w:rsidR="00EC67D5" w14:paraId="217CD14B" w14:textId="77777777" w:rsidTr="00F575AD">
        <w:tc>
          <w:tcPr>
            <w:tcW w:w="3256" w:type="dxa"/>
          </w:tcPr>
          <w:p w14:paraId="62B1FB05" w14:textId="73D9A885" w:rsidR="00EC67D5" w:rsidRDefault="00EC67D5" w:rsidP="004356B5">
            <w:r>
              <w:t>The 2013 Regulations</w:t>
            </w:r>
          </w:p>
        </w:tc>
        <w:tc>
          <w:tcPr>
            <w:tcW w:w="5760" w:type="dxa"/>
          </w:tcPr>
          <w:p w14:paraId="60F7E799" w14:textId="7FD212CB" w:rsidR="00EC67D5" w:rsidRDefault="00EC67D5" w:rsidP="004356B5">
            <w:r w:rsidRPr="00BB2B3C">
              <w:t>The Protected Trust Deed (Scotland) Regulations 2013</w:t>
            </w:r>
          </w:p>
        </w:tc>
      </w:tr>
      <w:tr w:rsidR="00EC67D5" w14:paraId="56D62B40" w14:textId="77777777" w:rsidTr="00F575AD">
        <w:tc>
          <w:tcPr>
            <w:tcW w:w="3256" w:type="dxa"/>
          </w:tcPr>
          <w:p w14:paraId="4C75F5A0" w14:textId="15D02314" w:rsidR="00EC67D5" w:rsidRDefault="00EC67D5" w:rsidP="004356B5">
            <w:r>
              <w:t>The 2014 Regulations</w:t>
            </w:r>
          </w:p>
        </w:tc>
        <w:tc>
          <w:tcPr>
            <w:tcW w:w="5760" w:type="dxa"/>
          </w:tcPr>
          <w:p w14:paraId="645CCA9F" w14:textId="7C4ACF54" w:rsidR="00EC67D5" w:rsidRDefault="00EC67D5" w:rsidP="004356B5">
            <w:r w:rsidRPr="00EE457F">
              <w:rPr>
                <w:szCs w:val="24"/>
              </w:rPr>
              <w:t>The Common Financial Tool etc. (Scotland) Regulations 2014</w:t>
            </w:r>
          </w:p>
        </w:tc>
      </w:tr>
      <w:tr w:rsidR="00EC67D5" w14:paraId="6432A7E4" w14:textId="77777777" w:rsidTr="00F575AD">
        <w:tc>
          <w:tcPr>
            <w:tcW w:w="3256" w:type="dxa"/>
          </w:tcPr>
          <w:p w14:paraId="7C9F56DA" w14:textId="461382E8" w:rsidR="00EC67D5" w:rsidRDefault="00EC67D5" w:rsidP="004356B5">
            <w:r>
              <w:t>The 2016 Regulations</w:t>
            </w:r>
          </w:p>
        </w:tc>
        <w:tc>
          <w:tcPr>
            <w:tcW w:w="5760" w:type="dxa"/>
          </w:tcPr>
          <w:p w14:paraId="07D3D22C" w14:textId="5B508CE0" w:rsidR="00EC67D5" w:rsidRPr="00EE457F" w:rsidRDefault="00EC67D5" w:rsidP="004356B5">
            <w:pPr>
              <w:rPr>
                <w:szCs w:val="24"/>
              </w:rPr>
            </w:pPr>
            <w:r>
              <w:rPr>
                <w:szCs w:val="24"/>
              </w:rPr>
              <w:t>The Bankruptcy (Scotland) Regulations 2016</w:t>
            </w:r>
          </w:p>
        </w:tc>
      </w:tr>
      <w:tr w:rsidR="00EC67D5" w14:paraId="77FFE89C" w14:textId="77777777" w:rsidTr="00F575AD">
        <w:tc>
          <w:tcPr>
            <w:tcW w:w="3256" w:type="dxa"/>
          </w:tcPr>
          <w:p w14:paraId="0CDEB8C1" w14:textId="405283B3" w:rsidR="00EC67D5" w:rsidRDefault="00EC67D5" w:rsidP="004356B5">
            <w:r>
              <w:t>The 2021 Regulations</w:t>
            </w:r>
          </w:p>
        </w:tc>
        <w:tc>
          <w:tcPr>
            <w:tcW w:w="5760" w:type="dxa"/>
          </w:tcPr>
          <w:p w14:paraId="57627A6F" w14:textId="4E4BE0A4" w:rsidR="00EC67D5" w:rsidRPr="00EE457F" w:rsidRDefault="00EC67D5" w:rsidP="004356B5">
            <w:pPr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Pr="0070258B">
              <w:rPr>
                <w:szCs w:val="24"/>
              </w:rPr>
              <w:t>Bankruptcy (Miscellaneous Amendments) (Scotland) Regulations 2021</w:t>
            </w:r>
          </w:p>
        </w:tc>
      </w:tr>
      <w:tr w:rsidR="00EC67D5" w14:paraId="18880B0D" w14:textId="77777777" w:rsidTr="00F575AD">
        <w:tc>
          <w:tcPr>
            <w:tcW w:w="3256" w:type="dxa"/>
          </w:tcPr>
          <w:p w14:paraId="4182674C" w14:textId="06AB08F4" w:rsidR="00EC67D5" w:rsidRDefault="00EC67D5" w:rsidP="004356B5">
            <w:r>
              <w:t>The first Coronavirus Act</w:t>
            </w:r>
          </w:p>
        </w:tc>
        <w:tc>
          <w:tcPr>
            <w:tcW w:w="5760" w:type="dxa"/>
          </w:tcPr>
          <w:p w14:paraId="42C19BEF" w14:textId="653870B6" w:rsidR="00EC67D5" w:rsidRPr="00EE457F" w:rsidRDefault="00EC67D5" w:rsidP="004356B5">
            <w:pPr>
              <w:rPr>
                <w:szCs w:val="24"/>
              </w:rPr>
            </w:pPr>
            <w:r>
              <w:t xml:space="preserve">The </w:t>
            </w:r>
            <w:r w:rsidRPr="00324E7E">
              <w:t>Coronavirus (Scotland) Act 2020</w:t>
            </w:r>
          </w:p>
        </w:tc>
      </w:tr>
      <w:tr w:rsidR="00EC67D5" w14:paraId="200E9888" w14:textId="77777777" w:rsidTr="00F575AD">
        <w:tc>
          <w:tcPr>
            <w:tcW w:w="3256" w:type="dxa"/>
          </w:tcPr>
          <w:p w14:paraId="37BF7AFB" w14:textId="62F999EC" w:rsidR="00EC67D5" w:rsidRDefault="00EC67D5" w:rsidP="004356B5">
            <w:r>
              <w:t>The second Coronavirus Act</w:t>
            </w:r>
          </w:p>
        </w:tc>
        <w:tc>
          <w:tcPr>
            <w:tcW w:w="5760" w:type="dxa"/>
          </w:tcPr>
          <w:p w14:paraId="47DDB8FD" w14:textId="647921B3" w:rsidR="00EC67D5" w:rsidRPr="00EE457F" w:rsidRDefault="00EC67D5" w:rsidP="004356B5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70258B">
              <w:rPr>
                <w:szCs w:val="24"/>
              </w:rPr>
              <w:t>he Coronavirus (Scotland) (No. 2) Act 2020</w:t>
            </w:r>
          </w:p>
        </w:tc>
      </w:tr>
    </w:tbl>
    <w:p w14:paraId="5F0D129B" w14:textId="1A1C6EF7" w:rsidR="00EC67D5" w:rsidRDefault="00EC67D5" w:rsidP="0017552B"/>
    <w:sectPr w:rsidR="00EC67D5" w:rsidSect="00D47F6A">
      <w:footerReference w:type="default" r:id="rId9"/>
      <w:pgSz w:w="11906" w:h="16838" w:code="9"/>
      <w:pgMar w:top="1440" w:right="1440" w:bottom="1440" w:left="1440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D287E" w14:textId="77777777" w:rsidR="00691EFE" w:rsidRDefault="00691EFE">
      <w:r>
        <w:separator/>
      </w:r>
    </w:p>
  </w:endnote>
  <w:endnote w:type="continuationSeparator" w:id="0">
    <w:p w14:paraId="2FB76106" w14:textId="77777777" w:rsidR="00691EFE" w:rsidRDefault="0069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552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372C9" w14:textId="42B2AE65" w:rsidR="00D47F6A" w:rsidRDefault="00D47F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EF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8F6A97F" w14:textId="77777777" w:rsidR="00D47F6A" w:rsidRDefault="00D47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07471" w14:textId="77777777" w:rsidR="00691EFE" w:rsidRDefault="00691EFE">
      <w:r>
        <w:separator/>
      </w:r>
    </w:p>
  </w:footnote>
  <w:footnote w:type="continuationSeparator" w:id="0">
    <w:p w14:paraId="164C5800" w14:textId="77777777" w:rsidR="00691EFE" w:rsidRDefault="0069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C0"/>
    <w:rsid w:val="00010594"/>
    <w:rsid w:val="00027C27"/>
    <w:rsid w:val="000A15C0"/>
    <w:rsid w:val="000C0CF4"/>
    <w:rsid w:val="000E522A"/>
    <w:rsid w:val="00111BC4"/>
    <w:rsid w:val="0017552B"/>
    <w:rsid w:val="001D0991"/>
    <w:rsid w:val="00281579"/>
    <w:rsid w:val="00284A94"/>
    <w:rsid w:val="002F0A3D"/>
    <w:rsid w:val="002F1BC2"/>
    <w:rsid w:val="00306910"/>
    <w:rsid w:val="00306C61"/>
    <w:rsid w:val="0037582B"/>
    <w:rsid w:val="00385AE6"/>
    <w:rsid w:val="00401736"/>
    <w:rsid w:val="00425187"/>
    <w:rsid w:val="00431E3F"/>
    <w:rsid w:val="004356B5"/>
    <w:rsid w:val="004819CB"/>
    <w:rsid w:val="004D3A74"/>
    <w:rsid w:val="005436C9"/>
    <w:rsid w:val="005D1454"/>
    <w:rsid w:val="00677996"/>
    <w:rsid w:val="006852FC"/>
    <w:rsid w:val="00691EFE"/>
    <w:rsid w:val="006B6002"/>
    <w:rsid w:val="007128E3"/>
    <w:rsid w:val="0076324A"/>
    <w:rsid w:val="007664D7"/>
    <w:rsid w:val="007F4929"/>
    <w:rsid w:val="00857548"/>
    <w:rsid w:val="008E6734"/>
    <w:rsid w:val="008F6A8D"/>
    <w:rsid w:val="009406BF"/>
    <w:rsid w:val="00951FAC"/>
    <w:rsid w:val="00960AE2"/>
    <w:rsid w:val="009B7615"/>
    <w:rsid w:val="009B7886"/>
    <w:rsid w:val="00A848E4"/>
    <w:rsid w:val="00A97134"/>
    <w:rsid w:val="00AA7ED4"/>
    <w:rsid w:val="00B00EF3"/>
    <w:rsid w:val="00B26BCB"/>
    <w:rsid w:val="00B31108"/>
    <w:rsid w:val="00B51BDC"/>
    <w:rsid w:val="00B53682"/>
    <w:rsid w:val="00B561C0"/>
    <w:rsid w:val="00B773CE"/>
    <w:rsid w:val="00BB6D90"/>
    <w:rsid w:val="00C91823"/>
    <w:rsid w:val="00CB4805"/>
    <w:rsid w:val="00CE0AC7"/>
    <w:rsid w:val="00D008AB"/>
    <w:rsid w:val="00D03F54"/>
    <w:rsid w:val="00D0545D"/>
    <w:rsid w:val="00D47F6A"/>
    <w:rsid w:val="00DE571A"/>
    <w:rsid w:val="00EC67D5"/>
    <w:rsid w:val="00F14DA3"/>
    <w:rsid w:val="00F15170"/>
    <w:rsid w:val="00F575AD"/>
    <w:rsid w:val="00FA4BC1"/>
    <w:rsid w:val="00FE49D9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B22C"/>
  <w15:chartTrackingRefBased/>
  <w15:docId w15:val="{097AB372-29C5-4F43-9AAD-BF91E343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5AD"/>
    <w:pPr>
      <w:spacing w:before="100" w:beforeAutospacing="1" w:after="100" w:afterAutospacing="1" w:line="360" w:lineRule="auto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575AD"/>
    <w:pPr>
      <w:outlineLvl w:val="0"/>
    </w:pPr>
    <w:rPr>
      <w:b/>
      <w:color w:val="1F4E79" w:themeColor="accent1" w:themeShade="80"/>
      <w:kern w:val="24"/>
      <w:sz w:val="32"/>
    </w:rPr>
  </w:style>
  <w:style w:type="paragraph" w:styleId="Heading2">
    <w:name w:val="heading 2"/>
    <w:basedOn w:val="Normal"/>
    <w:next w:val="Normal"/>
    <w:link w:val="Heading2Char"/>
    <w:qFormat/>
    <w:rsid w:val="0017552B"/>
    <w:pPr>
      <w:outlineLvl w:val="1"/>
    </w:pPr>
    <w:rPr>
      <w:b/>
      <w:kern w:val="24"/>
    </w:rPr>
  </w:style>
  <w:style w:type="paragraph" w:styleId="Heading3">
    <w:name w:val="heading 3"/>
    <w:basedOn w:val="Normal"/>
    <w:next w:val="Normal"/>
    <w:link w:val="Heading3Char"/>
    <w:qFormat/>
    <w:rsid w:val="0017552B"/>
    <w:p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575AD"/>
    <w:rPr>
      <w:rFonts w:ascii="Arial" w:hAnsi="Arial" w:cs="Times New Roman"/>
      <w:b/>
      <w:color w:val="1F4E79" w:themeColor="accent1" w:themeShade="80"/>
      <w:kern w:val="24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17552B"/>
    <w:rPr>
      <w:rFonts w:ascii="Arial" w:hAnsi="Arial" w:cs="Times New Roman"/>
      <w:b/>
      <w:kern w:val="24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0A15C0"/>
    <w:pPr>
      <w:ind w:left="720"/>
      <w:contextualSpacing/>
    </w:pPr>
  </w:style>
  <w:style w:type="table" w:styleId="TableGrid">
    <w:name w:val="Table Grid"/>
    <w:basedOn w:val="TableNormal"/>
    <w:uiPriority w:val="39"/>
    <w:rsid w:val="000A15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A15C0"/>
    <w:rPr>
      <w:rFonts w:ascii="Arial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1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5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5C0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C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002"/>
    <w:rPr>
      <w:rFonts w:ascii="Arial" w:hAnsi="Arial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7552B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7552B"/>
  </w:style>
  <w:style w:type="character" w:styleId="Hyperlink">
    <w:name w:val="Hyperlink"/>
    <w:basedOn w:val="DefaultParagraphFont"/>
    <w:uiPriority w:val="99"/>
    <w:unhideWhenUsed/>
    <w:rsid w:val="001755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A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638ddda39f6a47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53D26341A57B383EE0540010E0463CCA" version="1.0.0">
  <systemFields>
    <field name="Objective-Id">
      <value order="0">A36765636</value>
    </field>
    <field name="Objective-Title">
      <value order="0">AiB - Policy Development - Stage 2 Working Groups - Report Glossary and Acronyms (Final version)</value>
    </field>
    <field name="Objective-Description">
      <value order="0"/>
    </field>
    <field name="Objective-CreationStamp">
      <value order="0">2022-03-02T15:11:41Z</value>
    </field>
    <field name="Objective-IsApproved">
      <value order="0">false</value>
    </field>
    <field name="Objective-IsPublished">
      <value order="0">true</value>
    </field>
    <field name="Objective-DatePublished">
      <value order="0">2022-05-13T11:11:06Z</value>
    </field>
    <field name="Objective-ModificationStamp">
      <value order="0">2022-05-13T11:11:06Z</value>
    </field>
    <field name="Objective-Owner">
      <value order="0">Kirk, Carol C (u204148)</value>
    </field>
    <field name="Objective-Path">
      <value order="0">Objective Global Folder:SG File Plan:Business and industry:Business practice and regulation:Insolvency:Advice and policy: Insolvency:Accountant in Bankruptcy (AiB) - Policy Development - Wider Review of Insolvency Systems: 2020-2025</value>
    </field>
    <field name="Objective-Parent">
      <value order="0">Accountant in Bankruptcy (AiB) - Policy Development - Wider Review of Insolvency Systems: 2020-2025</value>
    </field>
    <field name="Objective-State">
      <value order="0">Published</value>
    </field>
    <field name="Objective-VersionId">
      <value order="0">vA56265073</value>
    </field>
    <field name="Objective-Version">
      <value order="0">18.0</value>
    </field>
    <field name="Objective-VersionNumber">
      <value order="0">27</value>
    </field>
    <field name="Objective-VersionComment">
      <value order="0"/>
    </field>
    <field name="Objective-FileNumber">
      <value order="0">POL/34763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4C4A4642-B6BD-44B2-B627-0ECE8F14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C (Carol)</dc:creator>
  <cp:keywords/>
  <dc:description/>
  <cp:lastModifiedBy>Carrigan P (Pauline)</cp:lastModifiedBy>
  <cp:revision>2</cp:revision>
  <dcterms:created xsi:type="dcterms:W3CDTF">2022-05-13T11:10:00Z</dcterms:created>
  <dcterms:modified xsi:type="dcterms:W3CDTF">2022-05-13T11:10:00Z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A36765636</vt:lpwstr>
  </property>
  <property fmtid="{D5CDD505-2E9C-101B-9397-08002B2CF9AE}" pid="4" name="Objective-Title">
    <vt:lpwstr>AiB - Policy Development - Stage 2 Working Groups - Report Glossary and Acronyms (Final version)</vt:lpwstr>
  </property>
  <property fmtid="{D5CDD505-2E9C-101B-9397-08002B2CF9AE}" pid="5" name="Objective-Description">
    <vt:lpwstr/>
  </property>
  <property fmtid="{D5CDD505-2E9C-101B-9397-08002B2CF9AE}" pid="6" name="Objective-CreationStamp">
    <vt:filetime>2022-03-02T15:11:41Z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2022-05-13T11:11:06Z</vt:filetime>
  </property>
  <property fmtid="{D5CDD505-2E9C-101B-9397-08002B2CF9AE}" pid="10" name="Objective-ModificationStamp">
    <vt:filetime>2022-05-13T11:11:06Z</vt:filetime>
  </property>
  <property fmtid="{D5CDD505-2E9C-101B-9397-08002B2CF9AE}" pid="11" name="Objective-Owner">
    <vt:lpwstr>Kirk, Carol C (u204148)</vt:lpwstr>
  </property>
  <property fmtid="{D5CDD505-2E9C-101B-9397-08002B2CF9AE}" pid="12" name="Objective-Path">
    <vt:lpwstr>Objective Global Folder:SG File Plan:Business and industry:Business practice and regulation:Insolvency:Advice and policy: Insolvency:Accountant in Bankruptcy (AiB) - Policy Development - Wider Review of Insolvency Systems: 2020-2025</vt:lpwstr>
  </property>
  <property fmtid="{D5CDD505-2E9C-101B-9397-08002B2CF9AE}" pid="13" name="Objective-Parent">
    <vt:lpwstr>Accountant in Bankruptcy (AiB) - Policy Development - Wider Review of Insolvency Systems: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vA56265073</vt:lpwstr>
  </property>
  <property fmtid="{D5CDD505-2E9C-101B-9397-08002B2CF9AE}" pid="16" name="Objective-Version">
    <vt:lpwstr>18.0</vt:lpwstr>
  </property>
  <property fmtid="{D5CDD505-2E9C-101B-9397-08002B2CF9AE}" pid="17" name="Objective-VersionNumber">
    <vt:r8>27</vt:r8>
  </property>
  <property fmtid="{D5CDD505-2E9C-101B-9397-08002B2CF9AE}" pid="18" name="Objective-VersionComment">
    <vt:lpwstr/>
  </property>
  <property fmtid="{D5CDD505-2E9C-101B-9397-08002B2CF9AE}" pid="19" name="Objective-FileNumber">
    <vt:lpwstr>POL/34763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