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A569F" w14:textId="77777777" w:rsidR="00B93799" w:rsidRDefault="00B93799" w:rsidP="000C6DC8">
      <w:pPr>
        <w:rPr>
          <w:b/>
          <w:sz w:val="36"/>
          <w:szCs w:val="36"/>
        </w:rPr>
      </w:pPr>
    </w:p>
    <w:p w14:paraId="1549C9F6" w14:textId="77777777" w:rsidR="00B93799" w:rsidRDefault="00B93799" w:rsidP="000C6DC8">
      <w:pPr>
        <w:rPr>
          <w:b/>
          <w:sz w:val="36"/>
          <w:szCs w:val="36"/>
        </w:rPr>
      </w:pPr>
    </w:p>
    <w:p w14:paraId="4AD59EAF" w14:textId="77777777" w:rsidR="00B93799" w:rsidRDefault="00B93799" w:rsidP="000C6DC8">
      <w:pPr>
        <w:rPr>
          <w:b/>
          <w:sz w:val="36"/>
          <w:szCs w:val="36"/>
        </w:rPr>
      </w:pPr>
    </w:p>
    <w:p w14:paraId="003581E2" w14:textId="77777777" w:rsidR="00B93799" w:rsidRDefault="00B93799" w:rsidP="000C6DC8">
      <w:pPr>
        <w:rPr>
          <w:b/>
          <w:sz w:val="36"/>
          <w:szCs w:val="36"/>
        </w:rPr>
      </w:pPr>
    </w:p>
    <w:p w14:paraId="1FC47A91" w14:textId="77777777" w:rsidR="00B93799" w:rsidRDefault="00B93799" w:rsidP="000C6DC8">
      <w:pPr>
        <w:rPr>
          <w:b/>
          <w:sz w:val="36"/>
          <w:szCs w:val="36"/>
        </w:rPr>
      </w:pPr>
    </w:p>
    <w:p w14:paraId="4F9EE0BF" w14:textId="77777777" w:rsidR="00B93799" w:rsidRDefault="00B93799" w:rsidP="000C6DC8">
      <w:pPr>
        <w:rPr>
          <w:b/>
          <w:sz w:val="36"/>
          <w:szCs w:val="36"/>
        </w:rPr>
      </w:pPr>
    </w:p>
    <w:p w14:paraId="1D20DFF9" w14:textId="77777777" w:rsidR="00B93799" w:rsidRDefault="00B93799" w:rsidP="000C6DC8">
      <w:pPr>
        <w:rPr>
          <w:b/>
          <w:sz w:val="36"/>
          <w:szCs w:val="36"/>
        </w:rPr>
      </w:pPr>
    </w:p>
    <w:p w14:paraId="113D0C1B" w14:textId="77777777" w:rsidR="00B93799" w:rsidRDefault="00B93799" w:rsidP="000C6DC8">
      <w:pPr>
        <w:rPr>
          <w:b/>
          <w:sz w:val="36"/>
          <w:szCs w:val="36"/>
        </w:rPr>
      </w:pPr>
    </w:p>
    <w:p w14:paraId="6E062792" w14:textId="77777777" w:rsidR="00B93799" w:rsidRDefault="00B93799" w:rsidP="000C6DC8">
      <w:pPr>
        <w:rPr>
          <w:b/>
          <w:sz w:val="36"/>
          <w:szCs w:val="36"/>
        </w:rPr>
      </w:pPr>
    </w:p>
    <w:p w14:paraId="6E36F43B" w14:textId="5D9614E3" w:rsidR="00B93799" w:rsidRPr="00B93799" w:rsidRDefault="00B93799" w:rsidP="000C6DC8">
      <w:pPr>
        <w:rPr>
          <w:b/>
          <w:sz w:val="36"/>
          <w:szCs w:val="36"/>
        </w:rPr>
      </w:pPr>
      <w:r w:rsidRPr="00B93799">
        <w:rPr>
          <w:b/>
          <w:sz w:val="36"/>
          <w:szCs w:val="36"/>
        </w:rPr>
        <w:t xml:space="preserve">Wider Review of Scotland’s Statutory Debt Solutions </w:t>
      </w:r>
    </w:p>
    <w:p w14:paraId="553705C2" w14:textId="74ABABC9" w:rsidR="00B93799" w:rsidRDefault="009A7D96" w:rsidP="000C6DC8">
      <w:pPr>
        <w:rPr>
          <w:b/>
          <w:sz w:val="36"/>
          <w:szCs w:val="36"/>
        </w:rPr>
      </w:pPr>
      <w:r>
        <w:rPr>
          <w:b/>
          <w:sz w:val="36"/>
          <w:szCs w:val="36"/>
        </w:rPr>
        <w:t>Stage 2 Working Group 1</w:t>
      </w:r>
      <w:r w:rsidR="006E0713" w:rsidRPr="00B93799">
        <w:rPr>
          <w:b/>
          <w:sz w:val="36"/>
          <w:szCs w:val="36"/>
        </w:rPr>
        <w:t xml:space="preserve"> </w:t>
      </w:r>
      <w:r>
        <w:rPr>
          <w:b/>
          <w:sz w:val="36"/>
          <w:szCs w:val="36"/>
        </w:rPr>
        <w:t>–</w:t>
      </w:r>
      <w:r w:rsidR="006E0713">
        <w:rPr>
          <w:b/>
          <w:sz w:val="36"/>
          <w:szCs w:val="36"/>
        </w:rPr>
        <w:t xml:space="preserve"> </w:t>
      </w:r>
      <w:r>
        <w:rPr>
          <w:b/>
          <w:sz w:val="36"/>
          <w:szCs w:val="36"/>
        </w:rPr>
        <w:t xml:space="preserve">Moratorium and Common Financial Tool - </w:t>
      </w:r>
      <w:r w:rsidR="006E0713">
        <w:rPr>
          <w:b/>
          <w:sz w:val="36"/>
          <w:szCs w:val="36"/>
        </w:rPr>
        <w:t xml:space="preserve">Recommendations </w:t>
      </w:r>
    </w:p>
    <w:p w14:paraId="78EA3B26" w14:textId="77777777" w:rsidR="00B3151B" w:rsidRPr="00B93799" w:rsidRDefault="00B3151B" w:rsidP="000C6DC8">
      <w:pPr>
        <w:rPr>
          <w:b/>
          <w:sz w:val="36"/>
          <w:szCs w:val="36"/>
        </w:rPr>
      </w:pPr>
    </w:p>
    <w:p w14:paraId="73E0C25D" w14:textId="0B07A87E" w:rsidR="00B93799" w:rsidRDefault="00483C0E" w:rsidP="000C6DC8">
      <w:pPr>
        <w:rPr>
          <w:b/>
          <w:sz w:val="36"/>
          <w:szCs w:val="36"/>
        </w:rPr>
      </w:pPr>
      <w:r>
        <w:rPr>
          <w:b/>
          <w:sz w:val="36"/>
          <w:szCs w:val="36"/>
        </w:rPr>
        <w:t>March</w:t>
      </w:r>
      <w:r w:rsidR="009A7D96">
        <w:rPr>
          <w:b/>
          <w:sz w:val="36"/>
          <w:szCs w:val="36"/>
        </w:rPr>
        <w:t xml:space="preserve"> 2022</w:t>
      </w:r>
    </w:p>
    <w:p w14:paraId="108D5815" w14:textId="77777777" w:rsidR="00B93799" w:rsidRPr="00B93799" w:rsidRDefault="00B93799" w:rsidP="000C6DC8">
      <w:pPr>
        <w:pBdr>
          <w:bottom w:val="single" w:sz="4" w:space="1" w:color="auto"/>
        </w:pBdr>
        <w:rPr>
          <w:b/>
          <w:sz w:val="36"/>
          <w:szCs w:val="36"/>
        </w:rPr>
      </w:pPr>
    </w:p>
    <w:p w14:paraId="01715940" w14:textId="7CA38926" w:rsidR="00F56804" w:rsidRDefault="00B93799" w:rsidP="00544291">
      <w:pPr>
        <w:rPr>
          <w:b/>
        </w:rPr>
      </w:pPr>
      <w:r>
        <w:rPr>
          <w:b/>
        </w:rPr>
        <w:br w:type="page"/>
      </w:r>
    </w:p>
    <w:p w14:paraId="28D17E80" w14:textId="5EF89005" w:rsidR="00544291" w:rsidRPr="00544291" w:rsidRDefault="00544291" w:rsidP="007B051C">
      <w:pPr>
        <w:pStyle w:val="Heading1"/>
      </w:pPr>
      <w:r w:rsidRPr="00544291">
        <w:lastRenderedPageBreak/>
        <w:t>Contents</w:t>
      </w:r>
      <w:bookmarkStart w:id="0" w:name="_GoBack"/>
      <w:bookmarkEnd w:id="0"/>
    </w:p>
    <w:p w14:paraId="48427119" w14:textId="252B7533" w:rsidR="00544291" w:rsidRDefault="00544291">
      <w:pPr>
        <w:pStyle w:val="TOC1"/>
        <w:tabs>
          <w:tab w:val="left" w:pos="480"/>
          <w:tab w:val="right" w:leader="dot" w:pos="9016"/>
        </w:tabs>
        <w:rPr>
          <w:rFonts w:asciiTheme="minorHAnsi" w:eastAsiaTheme="minorEastAsia" w:hAnsiTheme="minorHAnsi" w:cstheme="minorBidi"/>
          <w:noProof/>
          <w:sz w:val="22"/>
          <w:szCs w:val="22"/>
          <w:lang w:eastAsia="en-GB"/>
        </w:rPr>
      </w:pPr>
      <w:r>
        <w:rPr>
          <w:b/>
        </w:rPr>
        <w:fldChar w:fldCharType="begin"/>
      </w:r>
      <w:r>
        <w:rPr>
          <w:b/>
        </w:rPr>
        <w:instrText xml:space="preserve"> TOC \o "1-2" \h \z \u </w:instrText>
      </w:r>
      <w:r>
        <w:rPr>
          <w:b/>
        </w:rPr>
        <w:fldChar w:fldCharType="separate"/>
      </w:r>
      <w:hyperlink w:anchor="_Toc100244999" w:history="1">
        <w:r w:rsidRPr="005C7867">
          <w:rPr>
            <w:rStyle w:val="Hyperlink"/>
            <w:rFonts w:eastAsia="Arial"/>
            <w:noProof/>
          </w:rPr>
          <w:t>1.</w:t>
        </w:r>
        <w:r>
          <w:rPr>
            <w:rFonts w:asciiTheme="minorHAnsi" w:eastAsiaTheme="minorEastAsia" w:hAnsiTheme="minorHAnsi" w:cstheme="minorBidi"/>
            <w:noProof/>
            <w:sz w:val="22"/>
            <w:szCs w:val="22"/>
            <w:lang w:eastAsia="en-GB"/>
          </w:rPr>
          <w:tab/>
        </w:r>
        <w:r w:rsidRPr="005C7867">
          <w:rPr>
            <w:rStyle w:val="Hyperlink"/>
            <w:rFonts w:eastAsia="Arial"/>
            <w:noProof/>
          </w:rPr>
          <w:t>Introduction</w:t>
        </w:r>
        <w:r>
          <w:rPr>
            <w:noProof/>
            <w:webHidden/>
          </w:rPr>
          <w:tab/>
        </w:r>
        <w:r>
          <w:rPr>
            <w:noProof/>
            <w:webHidden/>
          </w:rPr>
          <w:fldChar w:fldCharType="begin"/>
        </w:r>
        <w:r>
          <w:rPr>
            <w:noProof/>
            <w:webHidden/>
          </w:rPr>
          <w:instrText xml:space="preserve"> PAGEREF _Toc100244999 \h </w:instrText>
        </w:r>
        <w:r>
          <w:rPr>
            <w:noProof/>
            <w:webHidden/>
          </w:rPr>
        </w:r>
        <w:r>
          <w:rPr>
            <w:noProof/>
            <w:webHidden/>
          </w:rPr>
          <w:fldChar w:fldCharType="separate"/>
        </w:r>
        <w:r w:rsidR="000573AD">
          <w:rPr>
            <w:noProof/>
            <w:webHidden/>
          </w:rPr>
          <w:t>2</w:t>
        </w:r>
        <w:r>
          <w:rPr>
            <w:noProof/>
            <w:webHidden/>
          </w:rPr>
          <w:fldChar w:fldCharType="end"/>
        </w:r>
      </w:hyperlink>
    </w:p>
    <w:p w14:paraId="37F9B5A8" w14:textId="2FBA1C6A" w:rsidR="00544291" w:rsidRDefault="00430FFE">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100245000" w:history="1">
        <w:r w:rsidR="00544291" w:rsidRPr="005C7867">
          <w:rPr>
            <w:rStyle w:val="Hyperlink"/>
            <w:rFonts w:eastAsia="Arial"/>
            <w:noProof/>
          </w:rPr>
          <w:t>2.</w:t>
        </w:r>
        <w:r w:rsidR="00544291">
          <w:rPr>
            <w:rFonts w:asciiTheme="minorHAnsi" w:eastAsiaTheme="minorEastAsia" w:hAnsiTheme="minorHAnsi" w:cstheme="minorBidi"/>
            <w:noProof/>
            <w:sz w:val="22"/>
            <w:szCs w:val="22"/>
            <w:lang w:eastAsia="en-GB"/>
          </w:rPr>
          <w:tab/>
        </w:r>
        <w:r w:rsidR="00544291" w:rsidRPr="005C7867">
          <w:rPr>
            <w:rStyle w:val="Hyperlink"/>
            <w:rFonts w:eastAsia="Arial"/>
            <w:noProof/>
          </w:rPr>
          <w:t>Moratorium</w:t>
        </w:r>
        <w:r w:rsidR="00544291">
          <w:rPr>
            <w:noProof/>
            <w:webHidden/>
          </w:rPr>
          <w:tab/>
        </w:r>
        <w:r w:rsidR="00544291">
          <w:rPr>
            <w:noProof/>
            <w:webHidden/>
          </w:rPr>
          <w:fldChar w:fldCharType="begin"/>
        </w:r>
        <w:r w:rsidR="00544291">
          <w:rPr>
            <w:noProof/>
            <w:webHidden/>
          </w:rPr>
          <w:instrText xml:space="preserve"> PAGEREF _Toc100245000 \h </w:instrText>
        </w:r>
        <w:r w:rsidR="00544291">
          <w:rPr>
            <w:noProof/>
            <w:webHidden/>
          </w:rPr>
        </w:r>
        <w:r w:rsidR="00544291">
          <w:rPr>
            <w:noProof/>
            <w:webHidden/>
          </w:rPr>
          <w:fldChar w:fldCharType="separate"/>
        </w:r>
        <w:r w:rsidR="000573AD">
          <w:rPr>
            <w:noProof/>
            <w:webHidden/>
          </w:rPr>
          <w:t>2</w:t>
        </w:r>
        <w:r w:rsidR="00544291">
          <w:rPr>
            <w:noProof/>
            <w:webHidden/>
          </w:rPr>
          <w:fldChar w:fldCharType="end"/>
        </w:r>
      </w:hyperlink>
    </w:p>
    <w:p w14:paraId="01BAC540" w14:textId="6557DE5D" w:rsidR="00544291" w:rsidRDefault="00430FFE">
      <w:pPr>
        <w:pStyle w:val="TOC2"/>
        <w:tabs>
          <w:tab w:val="right" w:leader="dot" w:pos="9016"/>
        </w:tabs>
        <w:rPr>
          <w:rFonts w:asciiTheme="minorHAnsi" w:eastAsiaTheme="minorEastAsia" w:hAnsiTheme="minorHAnsi" w:cstheme="minorBidi"/>
          <w:noProof/>
          <w:sz w:val="22"/>
          <w:szCs w:val="22"/>
          <w:lang w:eastAsia="en-GB"/>
        </w:rPr>
      </w:pPr>
      <w:hyperlink w:anchor="_Toc100245001" w:history="1">
        <w:r w:rsidR="00544291" w:rsidRPr="005C7867">
          <w:rPr>
            <w:rStyle w:val="Hyperlink"/>
            <w:rFonts w:eastAsia="Arial"/>
            <w:noProof/>
          </w:rPr>
          <w:t>Freezing of Interest and Charges</w:t>
        </w:r>
        <w:r w:rsidR="00544291">
          <w:rPr>
            <w:noProof/>
            <w:webHidden/>
          </w:rPr>
          <w:tab/>
        </w:r>
        <w:r w:rsidR="00544291">
          <w:rPr>
            <w:noProof/>
            <w:webHidden/>
          </w:rPr>
          <w:fldChar w:fldCharType="begin"/>
        </w:r>
        <w:r w:rsidR="00544291">
          <w:rPr>
            <w:noProof/>
            <w:webHidden/>
          </w:rPr>
          <w:instrText xml:space="preserve"> PAGEREF _Toc100245001 \h </w:instrText>
        </w:r>
        <w:r w:rsidR="00544291">
          <w:rPr>
            <w:noProof/>
            <w:webHidden/>
          </w:rPr>
        </w:r>
        <w:r w:rsidR="00544291">
          <w:rPr>
            <w:noProof/>
            <w:webHidden/>
          </w:rPr>
          <w:fldChar w:fldCharType="separate"/>
        </w:r>
        <w:r w:rsidR="000573AD">
          <w:rPr>
            <w:noProof/>
            <w:webHidden/>
          </w:rPr>
          <w:t>3</w:t>
        </w:r>
        <w:r w:rsidR="00544291">
          <w:rPr>
            <w:noProof/>
            <w:webHidden/>
          </w:rPr>
          <w:fldChar w:fldCharType="end"/>
        </w:r>
      </w:hyperlink>
    </w:p>
    <w:p w14:paraId="752DEC35" w14:textId="591FA77C" w:rsidR="00544291" w:rsidRDefault="00430FFE">
      <w:pPr>
        <w:pStyle w:val="TOC2"/>
        <w:tabs>
          <w:tab w:val="right" w:leader="dot" w:pos="9016"/>
        </w:tabs>
        <w:rPr>
          <w:rFonts w:asciiTheme="minorHAnsi" w:eastAsiaTheme="minorEastAsia" w:hAnsiTheme="minorHAnsi" w:cstheme="minorBidi"/>
          <w:noProof/>
          <w:sz w:val="22"/>
          <w:szCs w:val="22"/>
          <w:lang w:eastAsia="en-GB"/>
        </w:rPr>
      </w:pPr>
      <w:hyperlink w:anchor="_Toc100245002" w:history="1">
        <w:r w:rsidR="00544291" w:rsidRPr="005C7867">
          <w:rPr>
            <w:rStyle w:val="Hyperlink"/>
            <w:rFonts w:eastAsia="Arial"/>
            <w:noProof/>
          </w:rPr>
          <w:t>Period of Moratorium</w:t>
        </w:r>
        <w:r w:rsidR="00544291">
          <w:rPr>
            <w:noProof/>
            <w:webHidden/>
          </w:rPr>
          <w:tab/>
        </w:r>
        <w:r w:rsidR="00544291">
          <w:rPr>
            <w:noProof/>
            <w:webHidden/>
          </w:rPr>
          <w:fldChar w:fldCharType="begin"/>
        </w:r>
        <w:r w:rsidR="00544291">
          <w:rPr>
            <w:noProof/>
            <w:webHidden/>
          </w:rPr>
          <w:instrText xml:space="preserve"> PAGEREF _Toc100245002 \h </w:instrText>
        </w:r>
        <w:r w:rsidR="00544291">
          <w:rPr>
            <w:noProof/>
            <w:webHidden/>
          </w:rPr>
        </w:r>
        <w:r w:rsidR="00544291">
          <w:rPr>
            <w:noProof/>
            <w:webHidden/>
          </w:rPr>
          <w:fldChar w:fldCharType="separate"/>
        </w:r>
        <w:r w:rsidR="000573AD">
          <w:rPr>
            <w:noProof/>
            <w:webHidden/>
          </w:rPr>
          <w:t>6</w:t>
        </w:r>
        <w:r w:rsidR="00544291">
          <w:rPr>
            <w:noProof/>
            <w:webHidden/>
          </w:rPr>
          <w:fldChar w:fldCharType="end"/>
        </w:r>
      </w:hyperlink>
    </w:p>
    <w:p w14:paraId="7DCBA3CA" w14:textId="2143E7EA" w:rsidR="00544291" w:rsidRDefault="00430FFE">
      <w:pPr>
        <w:pStyle w:val="TOC2"/>
        <w:tabs>
          <w:tab w:val="right" w:leader="dot" w:pos="9016"/>
        </w:tabs>
        <w:rPr>
          <w:rFonts w:asciiTheme="minorHAnsi" w:eastAsiaTheme="minorEastAsia" w:hAnsiTheme="minorHAnsi" w:cstheme="minorBidi"/>
          <w:noProof/>
          <w:sz w:val="22"/>
          <w:szCs w:val="22"/>
          <w:lang w:eastAsia="en-GB"/>
        </w:rPr>
      </w:pPr>
      <w:hyperlink w:anchor="_Toc100245003" w:history="1">
        <w:r w:rsidR="00544291" w:rsidRPr="005C7867">
          <w:rPr>
            <w:rStyle w:val="Hyperlink"/>
            <w:rFonts w:eastAsia="Arial"/>
            <w:noProof/>
          </w:rPr>
          <w:t>Mental Health Crisis Provision</w:t>
        </w:r>
        <w:r w:rsidR="00544291">
          <w:rPr>
            <w:noProof/>
            <w:webHidden/>
          </w:rPr>
          <w:tab/>
        </w:r>
        <w:r w:rsidR="00544291">
          <w:rPr>
            <w:noProof/>
            <w:webHidden/>
          </w:rPr>
          <w:fldChar w:fldCharType="begin"/>
        </w:r>
        <w:r w:rsidR="00544291">
          <w:rPr>
            <w:noProof/>
            <w:webHidden/>
          </w:rPr>
          <w:instrText xml:space="preserve"> PAGEREF _Toc100245003 \h </w:instrText>
        </w:r>
        <w:r w:rsidR="00544291">
          <w:rPr>
            <w:noProof/>
            <w:webHidden/>
          </w:rPr>
        </w:r>
        <w:r w:rsidR="00544291">
          <w:rPr>
            <w:noProof/>
            <w:webHidden/>
          </w:rPr>
          <w:fldChar w:fldCharType="separate"/>
        </w:r>
        <w:r w:rsidR="000573AD">
          <w:rPr>
            <w:noProof/>
            <w:webHidden/>
          </w:rPr>
          <w:t>10</w:t>
        </w:r>
        <w:r w:rsidR="00544291">
          <w:rPr>
            <w:noProof/>
            <w:webHidden/>
          </w:rPr>
          <w:fldChar w:fldCharType="end"/>
        </w:r>
      </w:hyperlink>
    </w:p>
    <w:p w14:paraId="08577AF1" w14:textId="419D682D" w:rsidR="00544291" w:rsidRDefault="00430FFE">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100245004" w:history="1">
        <w:r w:rsidR="00544291" w:rsidRPr="005C7867">
          <w:rPr>
            <w:rStyle w:val="Hyperlink"/>
            <w:rFonts w:eastAsia="Arial"/>
            <w:noProof/>
          </w:rPr>
          <w:t>3.</w:t>
        </w:r>
        <w:r w:rsidR="00544291">
          <w:rPr>
            <w:rFonts w:asciiTheme="minorHAnsi" w:eastAsiaTheme="minorEastAsia" w:hAnsiTheme="minorHAnsi" w:cstheme="minorBidi"/>
            <w:noProof/>
            <w:sz w:val="22"/>
            <w:szCs w:val="22"/>
            <w:lang w:eastAsia="en-GB"/>
          </w:rPr>
          <w:tab/>
        </w:r>
        <w:r w:rsidR="00544291" w:rsidRPr="005C7867">
          <w:rPr>
            <w:rStyle w:val="Hyperlink"/>
            <w:rFonts w:eastAsia="Arial"/>
            <w:noProof/>
          </w:rPr>
          <w:t>Common Financial Tool</w:t>
        </w:r>
        <w:r w:rsidR="00544291">
          <w:rPr>
            <w:noProof/>
            <w:webHidden/>
          </w:rPr>
          <w:tab/>
        </w:r>
        <w:r w:rsidR="00544291">
          <w:rPr>
            <w:noProof/>
            <w:webHidden/>
          </w:rPr>
          <w:fldChar w:fldCharType="begin"/>
        </w:r>
        <w:r w:rsidR="00544291">
          <w:rPr>
            <w:noProof/>
            <w:webHidden/>
          </w:rPr>
          <w:instrText xml:space="preserve"> PAGEREF _Toc100245004 \h </w:instrText>
        </w:r>
        <w:r w:rsidR="00544291">
          <w:rPr>
            <w:noProof/>
            <w:webHidden/>
          </w:rPr>
        </w:r>
        <w:r w:rsidR="00544291">
          <w:rPr>
            <w:noProof/>
            <w:webHidden/>
          </w:rPr>
          <w:fldChar w:fldCharType="separate"/>
        </w:r>
        <w:r w:rsidR="000573AD">
          <w:rPr>
            <w:noProof/>
            <w:webHidden/>
          </w:rPr>
          <w:t>13</w:t>
        </w:r>
        <w:r w:rsidR="00544291">
          <w:rPr>
            <w:noProof/>
            <w:webHidden/>
          </w:rPr>
          <w:fldChar w:fldCharType="end"/>
        </w:r>
      </w:hyperlink>
    </w:p>
    <w:p w14:paraId="1F141B16" w14:textId="31CA4035" w:rsidR="00544291" w:rsidRDefault="00430FFE">
      <w:pPr>
        <w:pStyle w:val="TOC2"/>
        <w:tabs>
          <w:tab w:val="right" w:leader="dot" w:pos="9016"/>
        </w:tabs>
        <w:rPr>
          <w:rFonts w:asciiTheme="minorHAnsi" w:eastAsiaTheme="minorEastAsia" w:hAnsiTheme="minorHAnsi" w:cstheme="minorBidi"/>
          <w:noProof/>
          <w:sz w:val="22"/>
          <w:szCs w:val="22"/>
          <w:lang w:eastAsia="en-GB"/>
        </w:rPr>
      </w:pPr>
      <w:hyperlink w:anchor="_Toc100245005" w:history="1">
        <w:r w:rsidR="00544291" w:rsidRPr="005C7867">
          <w:rPr>
            <w:rStyle w:val="Hyperlink"/>
            <w:rFonts w:eastAsia="Arial"/>
            <w:noProof/>
          </w:rPr>
          <w:t>Methodology</w:t>
        </w:r>
        <w:r w:rsidR="00544291">
          <w:rPr>
            <w:noProof/>
            <w:webHidden/>
          </w:rPr>
          <w:tab/>
        </w:r>
        <w:r w:rsidR="00544291">
          <w:rPr>
            <w:noProof/>
            <w:webHidden/>
          </w:rPr>
          <w:fldChar w:fldCharType="begin"/>
        </w:r>
        <w:r w:rsidR="00544291">
          <w:rPr>
            <w:noProof/>
            <w:webHidden/>
          </w:rPr>
          <w:instrText xml:space="preserve"> PAGEREF _Toc100245005 \h </w:instrText>
        </w:r>
        <w:r w:rsidR="00544291">
          <w:rPr>
            <w:noProof/>
            <w:webHidden/>
          </w:rPr>
        </w:r>
        <w:r w:rsidR="00544291">
          <w:rPr>
            <w:noProof/>
            <w:webHidden/>
          </w:rPr>
          <w:fldChar w:fldCharType="separate"/>
        </w:r>
        <w:r w:rsidR="000573AD">
          <w:rPr>
            <w:noProof/>
            <w:webHidden/>
          </w:rPr>
          <w:t>13</w:t>
        </w:r>
        <w:r w:rsidR="00544291">
          <w:rPr>
            <w:noProof/>
            <w:webHidden/>
          </w:rPr>
          <w:fldChar w:fldCharType="end"/>
        </w:r>
      </w:hyperlink>
    </w:p>
    <w:p w14:paraId="615FE2EC" w14:textId="3CE5C9DF" w:rsidR="00544291" w:rsidRDefault="00430FFE">
      <w:pPr>
        <w:pStyle w:val="TOC2"/>
        <w:tabs>
          <w:tab w:val="right" w:leader="dot" w:pos="9016"/>
        </w:tabs>
        <w:rPr>
          <w:rFonts w:asciiTheme="minorHAnsi" w:eastAsiaTheme="minorEastAsia" w:hAnsiTheme="minorHAnsi" w:cstheme="minorBidi"/>
          <w:noProof/>
          <w:sz w:val="22"/>
          <w:szCs w:val="22"/>
          <w:lang w:eastAsia="en-GB"/>
        </w:rPr>
      </w:pPr>
      <w:hyperlink w:anchor="_Toc100245006" w:history="1">
        <w:r w:rsidR="00544291" w:rsidRPr="005C7867">
          <w:rPr>
            <w:rStyle w:val="Hyperlink"/>
            <w:rFonts w:eastAsia="Arial"/>
            <w:noProof/>
          </w:rPr>
          <w:t>Income and Expenditure Model</w:t>
        </w:r>
        <w:r w:rsidR="00544291">
          <w:rPr>
            <w:noProof/>
            <w:webHidden/>
          </w:rPr>
          <w:tab/>
        </w:r>
        <w:r w:rsidR="00544291">
          <w:rPr>
            <w:noProof/>
            <w:webHidden/>
          </w:rPr>
          <w:fldChar w:fldCharType="begin"/>
        </w:r>
        <w:r w:rsidR="00544291">
          <w:rPr>
            <w:noProof/>
            <w:webHidden/>
          </w:rPr>
          <w:instrText xml:space="preserve"> PAGEREF _Toc100245006 \h </w:instrText>
        </w:r>
        <w:r w:rsidR="00544291">
          <w:rPr>
            <w:noProof/>
            <w:webHidden/>
          </w:rPr>
        </w:r>
        <w:r w:rsidR="00544291">
          <w:rPr>
            <w:noProof/>
            <w:webHidden/>
          </w:rPr>
          <w:fldChar w:fldCharType="separate"/>
        </w:r>
        <w:r w:rsidR="000573AD">
          <w:rPr>
            <w:noProof/>
            <w:webHidden/>
          </w:rPr>
          <w:t>15</w:t>
        </w:r>
        <w:r w:rsidR="00544291">
          <w:rPr>
            <w:noProof/>
            <w:webHidden/>
          </w:rPr>
          <w:fldChar w:fldCharType="end"/>
        </w:r>
      </w:hyperlink>
    </w:p>
    <w:p w14:paraId="36915FF6" w14:textId="6F1331C4" w:rsidR="00544291" w:rsidRDefault="00430FFE">
      <w:pPr>
        <w:pStyle w:val="TOC2"/>
        <w:tabs>
          <w:tab w:val="right" w:leader="dot" w:pos="9016"/>
        </w:tabs>
        <w:rPr>
          <w:rFonts w:asciiTheme="minorHAnsi" w:eastAsiaTheme="minorEastAsia" w:hAnsiTheme="minorHAnsi" w:cstheme="minorBidi"/>
          <w:noProof/>
          <w:sz w:val="22"/>
          <w:szCs w:val="22"/>
          <w:lang w:eastAsia="en-GB"/>
        </w:rPr>
      </w:pPr>
      <w:hyperlink w:anchor="_Toc100245007" w:history="1">
        <w:r w:rsidR="00544291" w:rsidRPr="005C7867">
          <w:rPr>
            <w:rStyle w:val="Hyperlink"/>
            <w:rFonts w:eastAsia="Arial"/>
            <w:noProof/>
          </w:rPr>
          <w:t>Income Based Model</w:t>
        </w:r>
        <w:r w:rsidR="00544291">
          <w:rPr>
            <w:noProof/>
            <w:webHidden/>
          </w:rPr>
          <w:tab/>
        </w:r>
        <w:r w:rsidR="00544291">
          <w:rPr>
            <w:noProof/>
            <w:webHidden/>
          </w:rPr>
          <w:fldChar w:fldCharType="begin"/>
        </w:r>
        <w:r w:rsidR="00544291">
          <w:rPr>
            <w:noProof/>
            <w:webHidden/>
          </w:rPr>
          <w:instrText xml:space="preserve"> PAGEREF _Toc100245007 \h </w:instrText>
        </w:r>
        <w:r w:rsidR="00544291">
          <w:rPr>
            <w:noProof/>
            <w:webHidden/>
          </w:rPr>
        </w:r>
        <w:r w:rsidR="00544291">
          <w:rPr>
            <w:noProof/>
            <w:webHidden/>
          </w:rPr>
          <w:fldChar w:fldCharType="separate"/>
        </w:r>
        <w:r w:rsidR="000573AD">
          <w:rPr>
            <w:noProof/>
            <w:webHidden/>
          </w:rPr>
          <w:t>18</w:t>
        </w:r>
        <w:r w:rsidR="00544291">
          <w:rPr>
            <w:noProof/>
            <w:webHidden/>
          </w:rPr>
          <w:fldChar w:fldCharType="end"/>
        </w:r>
      </w:hyperlink>
    </w:p>
    <w:p w14:paraId="021B2D3F" w14:textId="75934F02" w:rsidR="00544291" w:rsidRDefault="00430FFE">
      <w:pPr>
        <w:pStyle w:val="TOC1"/>
        <w:tabs>
          <w:tab w:val="left" w:pos="480"/>
          <w:tab w:val="right" w:leader="dot" w:pos="9016"/>
        </w:tabs>
        <w:rPr>
          <w:rFonts w:asciiTheme="minorHAnsi" w:eastAsiaTheme="minorEastAsia" w:hAnsiTheme="minorHAnsi" w:cstheme="minorBidi"/>
          <w:noProof/>
          <w:sz w:val="22"/>
          <w:szCs w:val="22"/>
          <w:lang w:eastAsia="en-GB"/>
        </w:rPr>
      </w:pPr>
      <w:hyperlink w:anchor="_Toc100245008" w:history="1">
        <w:r w:rsidR="00544291" w:rsidRPr="005C7867">
          <w:rPr>
            <w:rStyle w:val="Hyperlink"/>
            <w:rFonts w:eastAsia="Arial"/>
            <w:noProof/>
          </w:rPr>
          <w:t>4.</w:t>
        </w:r>
        <w:r w:rsidR="00544291">
          <w:rPr>
            <w:rFonts w:asciiTheme="minorHAnsi" w:eastAsiaTheme="minorEastAsia" w:hAnsiTheme="minorHAnsi" w:cstheme="minorBidi"/>
            <w:noProof/>
            <w:sz w:val="22"/>
            <w:szCs w:val="22"/>
            <w:lang w:eastAsia="en-GB"/>
          </w:rPr>
          <w:tab/>
        </w:r>
        <w:r w:rsidR="00544291" w:rsidRPr="005C7867">
          <w:rPr>
            <w:rStyle w:val="Hyperlink"/>
            <w:rFonts w:eastAsia="Arial"/>
            <w:noProof/>
          </w:rPr>
          <w:t>Group Membership</w:t>
        </w:r>
        <w:r w:rsidR="00544291">
          <w:rPr>
            <w:noProof/>
            <w:webHidden/>
          </w:rPr>
          <w:tab/>
        </w:r>
        <w:r w:rsidR="00544291">
          <w:rPr>
            <w:noProof/>
            <w:webHidden/>
          </w:rPr>
          <w:fldChar w:fldCharType="begin"/>
        </w:r>
        <w:r w:rsidR="00544291">
          <w:rPr>
            <w:noProof/>
            <w:webHidden/>
          </w:rPr>
          <w:instrText xml:space="preserve"> PAGEREF _Toc100245008 \h </w:instrText>
        </w:r>
        <w:r w:rsidR="00544291">
          <w:rPr>
            <w:noProof/>
            <w:webHidden/>
          </w:rPr>
        </w:r>
        <w:r w:rsidR="00544291">
          <w:rPr>
            <w:noProof/>
            <w:webHidden/>
          </w:rPr>
          <w:fldChar w:fldCharType="separate"/>
        </w:r>
        <w:r w:rsidR="000573AD">
          <w:rPr>
            <w:noProof/>
            <w:webHidden/>
          </w:rPr>
          <w:t>25</w:t>
        </w:r>
        <w:r w:rsidR="00544291">
          <w:rPr>
            <w:noProof/>
            <w:webHidden/>
          </w:rPr>
          <w:fldChar w:fldCharType="end"/>
        </w:r>
      </w:hyperlink>
    </w:p>
    <w:p w14:paraId="00BA0768" w14:textId="1343AB0C" w:rsidR="00544291" w:rsidRPr="00544291" w:rsidRDefault="00544291" w:rsidP="00544291">
      <w:pPr>
        <w:rPr>
          <w:b/>
        </w:rPr>
      </w:pPr>
      <w:r>
        <w:rPr>
          <w:b/>
        </w:rPr>
        <w:fldChar w:fldCharType="end"/>
      </w:r>
    </w:p>
    <w:p w14:paraId="31CF11E8" w14:textId="77777777" w:rsidR="00CD1076" w:rsidRDefault="00CD1076" w:rsidP="000C6DC8">
      <w:pPr>
        <w:rPr>
          <w:b/>
        </w:rPr>
      </w:pPr>
    </w:p>
    <w:p w14:paraId="6FEEC07A" w14:textId="79ADBE53" w:rsidR="00CD1076" w:rsidRDefault="00CD1076" w:rsidP="000C6DC8">
      <w:pPr>
        <w:rPr>
          <w:b/>
        </w:rPr>
      </w:pPr>
    </w:p>
    <w:p w14:paraId="2DBBEBFD" w14:textId="22188B97" w:rsidR="005F2797" w:rsidRPr="005C02F4" w:rsidRDefault="00250B39" w:rsidP="005C02F4">
      <w:pPr>
        <w:rPr>
          <w:b/>
        </w:rPr>
      </w:pPr>
      <w:r>
        <w:rPr>
          <w:b/>
        </w:rPr>
        <w:br w:type="page"/>
      </w:r>
    </w:p>
    <w:p w14:paraId="7B0AC5CC" w14:textId="6D215742" w:rsidR="005F2797" w:rsidRPr="004C2962" w:rsidRDefault="00EC436A" w:rsidP="005C02F4">
      <w:pPr>
        <w:pStyle w:val="Heading1"/>
      </w:pPr>
      <w:bookmarkStart w:id="1" w:name="_Toc100244820"/>
      <w:bookmarkStart w:id="2" w:name="_Toc100244999"/>
      <w:r>
        <w:rPr>
          <w:rFonts w:eastAsia="Arial"/>
        </w:rPr>
        <w:lastRenderedPageBreak/>
        <w:t>1.</w:t>
      </w:r>
      <w:r>
        <w:rPr>
          <w:rFonts w:eastAsia="Arial"/>
        </w:rPr>
        <w:tab/>
      </w:r>
      <w:r w:rsidR="005F2797" w:rsidRPr="004C2962">
        <w:rPr>
          <w:rFonts w:eastAsia="Arial"/>
        </w:rPr>
        <w:t>I</w:t>
      </w:r>
      <w:r w:rsidR="00544291">
        <w:rPr>
          <w:rFonts w:eastAsia="Arial"/>
        </w:rPr>
        <w:t>ntroduction</w:t>
      </w:r>
      <w:bookmarkEnd w:id="1"/>
      <w:bookmarkEnd w:id="2"/>
    </w:p>
    <w:p w14:paraId="24C9427F" w14:textId="725DE473" w:rsidR="006416F3" w:rsidRPr="00544291" w:rsidRDefault="00EC436A" w:rsidP="000C6DC8">
      <w:pPr>
        <w:rPr>
          <w:rFonts w:cs="Arial"/>
          <w:szCs w:val="24"/>
        </w:rPr>
      </w:pPr>
      <w:r>
        <w:rPr>
          <w:rFonts w:eastAsia="Arial" w:cs="Arial"/>
          <w:szCs w:val="24"/>
        </w:rPr>
        <w:t>1.1</w:t>
      </w:r>
      <w:r>
        <w:rPr>
          <w:rFonts w:eastAsia="Arial" w:cs="Arial"/>
          <w:szCs w:val="24"/>
        </w:rPr>
        <w:tab/>
      </w:r>
      <w:r w:rsidR="005F2797" w:rsidRPr="004C2962">
        <w:rPr>
          <w:rFonts w:eastAsia="Arial" w:cs="Arial"/>
          <w:szCs w:val="24"/>
        </w:rPr>
        <w:t>This group was set up to focus on moratorium against diligence and the Common Financial Tool</w:t>
      </w:r>
      <w:r w:rsidR="00F638FD">
        <w:rPr>
          <w:rFonts w:eastAsia="Arial" w:cs="Arial"/>
          <w:szCs w:val="24"/>
        </w:rPr>
        <w:t xml:space="preserve"> (“the CFT”)</w:t>
      </w:r>
      <w:r w:rsidR="005F2797" w:rsidRPr="004C2962">
        <w:rPr>
          <w:rFonts w:eastAsia="Arial" w:cs="Arial"/>
          <w:szCs w:val="24"/>
        </w:rPr>
        <w:t xml:space="preserve">. </w:t>
      </w:r>
    </w:p>
    <w:p w14:paraId="1A69DB10" w14:textId="052DAB8D" w:rsidR="00CE4B2F" w:rsidRPr="00544291" w:rsidRDefault="00EC436A" w:rsidP="000C6DC8">
      <w:pPr>
        <w:rPr>
          <w:rFonts w:eastAsia="Arial" w:cs="Arial"/>
          <w:szCs w:val="24"/>
        </w:rPr>
      </w:pPr>
      <w:r>
        <w:rPr>
          <w:rFonts w:eastAsia="Arial" w:cs="Arial"/>
          <w:szCs w:val="24"/>
        </w:rPr>
        <w:t>1.2</w:t>
      </w:r>
      <w:r>
        <w:rPr>
          <w:rFonts w:eastAsia="Arial" w:cs="Arial"/>
          <w:szCs w:val="24"/>
        </w:rPr>
        <w:tab/>
      </w:r>
      <w:r w:rsidR="005F2797" w:rsidRPr="004C2962">
        <w:rPr>
          <w:rFonts w:eastAsia="Arial" w:cs="Arial"/>
          <w:szCs w:val="24"/>
        </w:rPr>
        <w:t>Wide ranging bankruptcy reforms were introduced through the Bankruptcy and Debt Advice (Scotland) Act 2014 (</w:t>
      </w:r>
      <w:r w:rsidR="00F114A4">
        <w:rPr>
          <w:rFonts w:eastAsia="Arial" w:cs="Arial"/>
          <w:szCs w:val="24"/>
        </w:rPr>
        <w:t>“</w:t>
      </w:r>
      <w:r w:rsidR="00D37120">
        <w:rPr>
          <w:rFonts w:eastAsia="Arial" w:cs="Arial"/>
          <w:szCs w:val="24"/>
        </w:rPr>
        <w:t>the 2014 Act</w:t>
      </w:r>
      <w:r w:rsidR="00F114A4">
        <w:rPr>
          <w:rFonts w:eastAsia="Arial" w:cs="Arial"/>
          <w:szCs w:val="24"/>
        </w:rPr>
        <w:t>”</w:t>
      </w:r>
      <w:r w:rsidR="005F2797" w:rsidRPr="004C2962">
        <w:rPr>
          <w:rFonts w:eastAsia="Arial" w:cs="Arial"/>
          <w:szCs w:val="24"/>
        </w:rPr>
        <w:t xml:space="preserve">), which came into force in April 2015. These reforms included the moratorium against diligence which provides individuals with a period of protection from their creditors, and the </w:t>
      </w:r>
      <w:r w:rsidR="00CE4B2F">
        <w:rPr>
          <w:rFonts w:eastAsia="Arial" w:cs="Arial"/>
          <w:szCs w:val="24"/>
        </w:rPr>
        <w:t xml:space="preserve">CFT </w:t>
      </w:r>
      <w:r w:rsidR="00CE4B2F" w:rsidRPr="004C2962">
        <w:rPr>
          <w:rFonts w:eastAsia="Arial" w:cs="Arial"/>
          <w:szCs w:val="24"/>
        </w:rPr>
        <w:t>which</w:t>
      </w:r>
      <w:r w:rsidR="005F2797" w:rsidRPr="004C2962">
        <w:rPr>
          <w:rFonts w:eastAsia="Arial" w:cs="Arial"/>
          <w:szCs w:val="24"/>
        </w:rPr>
        <w:t xml:space="preserve"> is used to calculate a debtor’s contribution in Scotland’s statutory debt solutions. </w:t>
      </w:r>
    </w:p>
    <w:p w14:paraId="00B98916" w14:textId="536FDB58" w:rsidR="005F2797" w:rsidRPr="00544291" w:rsidRDefault="00EC436A" w:rsidP="00544291">
      <w:pPr>
        <w:pStyle w:val="Heading1"/>
      </w:pPr>
      <w:bookmarkStart w:id="3" w:name="_Toc100244821"/>
      <w:bookmarkStart w:id="4" w:name="_Toc100245000"/>
      <w:r>
        <w:rPr>
          <w:rFonts w:eastAsia="Arial"/>
        </w:rPr>
        <w:t>2.</w:t>
      </w:r>
      <w:r>
        <w:rPr>
          <w:rFonts w:eastAsia="Arial"/>
        </w:rPr>
        <w:tab/>
      </w:r>
      <w:r w:rsidR="005F2797" w:rsidRPr="004C2962">
        <w:rPr>
          <w:rFonts w:eastAsia="Arial"/>
        </w:rPr>
        <w:t>M</w:t>
      </w:r>
      <w:r w:rsidR="00544291">
        <w:rPr>
          <w:rFonts w:eastAsia="Arial"/>
        </w:rPr>
        <w:t>oratorium</w:t>
      </w:r>
      <w:bookmarkEnd w:id="3"/>
      <w:bookmarkEnd w:id="4"/>
      <w:r w:rsidR="005F2797" w:rsidRPr="004C2962">
        <w:rPr>
          <w:rFonts w:eastAsia="Arial" w:cs="Arial"/>
          <w:bCs/>
          <w:szCs w:val="24"/>
        </w:rPr>
        <w:t xml:space="preserve"> </w:t>
      </w:r>
    </w:p>
    <w:p w14:paraId="100D7EA1" w14:textId="77ACC988" w:rsidR="005F2797" w:rsidRPr="00544291" w:rsidRDefault="00EC436A" w:rsidP="000C6DC8">
      <w:pPr>
        <w:rPr>
          <w:rFonts w:eastAsia="Arial" w:cs="Arial"/>
          <w:szCs w:val="24"/>
        </w:rPr>
      </w:pPr>
      <w:r>
        <w:rPr>
          <w:rFonts w:eastAsia="Arial" w:cs="Arial"/>
          <w:szCs w:val="24"/>
        </w:rPr>
        <w:t>2.1</w:t>
      </w:r>
      <w:r>
        <w:rPr>
          <w:rFonts w:eastAsia="Arial" w:cs="Arial"/>
          <w:szCs w:val="24"/>
        </w:rPr>
        <w:tab/>
      </w:r>
      <w:r w:rsidR="005F2797" w:rsidRPr="004C2962">
        <w:rPr>
          <w:rFonts w:eastAsia="Arial" w:cs="Arial"/>
          <w:szCs w:val="24"/>
        </w:rPr>
        <w:t>Moratorium against diligence was introduced by</w:t>
      </w:r>
      <w:r w:rsidR="00D37120">
        <w:rPr>
          <w:rFonts w:eastAsia="Arial" w:cs="Arial"/>
          <w:szCs w:val="24"/>
        </w:rPr>
        <w:t xml:space="preserve"> the 2014 Act</w:t>
      </w:r>
      <w:r w:rsidR="005F2797" w:rsidRPr="004C2962">
        <w:rPr>
          <w:rFonts w:eastAsia="Arial" w:cs="Arial"/>
          <w:szCs w:val="24"/>
        </w:rPr>
        <w:t xml:space="preserve"> which amended the Bankruptcy (Scotland) Act 1985 </w:t>
      </w:r>
      <w:r w:rsidR="005D3DA7">
        <w:rPr>
          <w:rFonts w:eastAsia="Arial" w:cs="Arial"/>
          <w:szCs w:val="24"/>
        </w:rPr>
        <w:t>(</w:t>
      </w:r>
      <w:r w:rsidR="00F114A4">
        <w:rPr>
          <w:rFonts w:eastAsia="Arial" w:cs="Arial"/>
          <w:szCs w:val="24"/>
        </w:rPr>
        <w:t>“</w:t>
      </w:r>
      <w:r w:rsidR="005D3DA7">
        <w:rPr>
          <w:rFonts w:eastAsia="Arial" w:cs="Arial"/>
          <w:szCs w:val="24"/>
        </w:rPr>
        <w:t>the 1985 Act</w:t>
      </w:r>
      <w:r w:rsidR="00F114A4">
        <w:rPr>
          <w:rFonts w:eastAsia="Arial" w:cs="Arial"/>
          <w:szCs w:val="24"/>
        </w:rPr>
        <w:t>”</w:t>
      </w:r>
      <w:r w:rsidR="005D3DA7">
        <w:rPr>
          <w:rFonts w:eastAsia="Arial" w:cs="Arial"/>
          <w:szCs w:val="24"/>
        </w:rPr>
        <w:t xml:space="preserve">) </w:t>
      </w:r>
      <w:r w:rsidR="005F2797" w:rsidRPr="004C2962">
        <w:rPr>
          <w:rFonts w:eastAsia="Arial" w:cs="Arial"/>
          <w:szCs w:val="24"/>
        </w:rPr>
        <w:t>and has since been consolidated into Part 15 of the Bankruptcy (Scotland) Act 2016</w:t>
      </w:r>
      <w:r w:rsidR="005D3DA7">
        <w:rPr>
          <w:rFonts w:eastAsia="Arial" w:cs="Arial"/>
          <w:szCs w:val="24"/>
        </w:rPr>
        <w:t xml:space="preserve"> (</w:t>
      </w:r>
      <w:r w:rsidR="00F114A4">
        <w:rPr>
          <w:rFonts w:eastAsia="Arial" w:cs="Arial"/>
          <w:szCs w:val="24"/>
        </w:rPr>
        <w:t>“</w:t>
      </w:r>
      <w:r w:rsidR="005D3DA7">
        <w:rPr>
          <w:rFonts w:eastAsia="Arial" w:cs="Arial"/>
          <w:szCs w:val="24"/>
        </w:rPr>
        <w:t>the 2016 Act</w:t>
      </w:r>
      <w:r w:rsidR="00F114A4">
        <w:rPr>
          <w:rFonts w:eastAsia="Arial" w:cs="Arial"/>
          <w:szCs w:val="24"/>
        </w:rPr>
        <w:t>”</w:t>
      </w:r>
      <w:r w:rsidR="005D3DA7">
        <w:rPr>
          <w:rFonts w:eastAsia="Arial" w:cs="Arial"/>
          <w:szCs w:val="24"/>
        </w:rPr>
        <w:t>)</w:t>
      </w:r>
      <w:r w:rsidR="005F2797" w:rsidRPr="004C2962">
        <w:rPr>
          <w:rFonts w:eastAsia="Arial" w:cs="Arial"/>
          <w:szCs w:val="24"/>
        </w:rPr>
        <w:t xml:space="preserve">. </w:t>
      </w:r>
    </w:p>
    <w:p w14:paraId="7F9F8020" w14:textId="26B5559C" w:rsidR="005F2797" w:rsidRPr="004C2962" w:rsidRDefault="00EC436A" w:rsidP="000C6DC8">
      <w:pPr>
        <w:rPr>
          <w:rFonts w:cs="Arial"/>
          <w:szCs w:val="24"/>
        </w:rPr>
      </w:pPr>
      <w:r>
        <w:rPr>
          <w:rFonts w:eastAsia="Arial" w:cs="Arial"/>
          <w:szCs w:val="24"/>
        </w:rPr>
        <w:t>2.2</w:t>
      </w:r>
      <w:r>
        <w:rPr>
          <w:rFonts w:eastAsia="Arial" w:cs="Arial"/>
          <w:szCs w:val="24"/>
        </w:rPr>
        <w:tab/>
      </w:r>
      <w:r w:rsidR="005F2797" w:rsidRPr="004C2962">
        <w:rPr>
          <w:rFonts w:eastAsia="Arial" w:cs="Arial"/>
          <w:szCs w:val="24"/>
        </w:rPr>
        <w:t>A statutory moratorium on diligence provides a six-week period of protection during which creditors cannot take any formal recovery action (diligence) against a debtor for debts owed. Moratorium protection can be requested by debtors who are seeking to access an appropriate statutory debt solution but who require more time to seek advice and consider their options. During this time, creditors are prevented from:</w:t>
      </w:r>
    </w:p>
    <w:p w14:paraId="25034D54" w14:textId="77777777" w:rsidR="005F2797" w:rsidRPr="004C2962" w:rsidRDefault="005F2797" w:rsidP="000C6DC8">
      <w:pPr>
        <w:pStyle w:val="ListParagraph"/>
        <w:numPr>
          <w:ilvl w:val="0"/>
          <w:numId w:val="34"/>
        </w:numPr>
        <w:rPr>
          <w:rFonts w:eastAsiaTheme="minorEastAsia" w:cs="Arial"/>
          <w:szCs w:val="24"/>
        </w:rPr>
      </w:pPr>
      <w:r w:rsidRPr="004C2962">
        <w:rPr>
          <w:rFonts w:eastAsia="Arial" w:cs="Arial"/>
          <w:szCs w:val="24"/>
        </w:rPr>
        <w:t>Serving charges for payment on the debtor</w:t>
      </w:r>
    </w:p>
    <w:p w14:paraId="0ABA532E" w14:textId="77777777" w:rsidR="005F2797" w:rsidRPr="004C2962" w:rsidRDefault="005F2797" w:rsidP="000C6DC8">
      <w:pPr>
        <w:pStyle w:val="ListParagraph"/>
        <w:numPr>
          <w:ilvl w:val="0"/>
          <w:numId w:val="34"/>
        </w:numPr>
        <w:rPr>
          <w:rFonts w:eastAsiaTheme="minorEastAsia" w:cs="Arial"/>
          <w:szCs w:val="24"/>
        </w:rPr>
      </w:pPr>
      <w:r w:rsidRPr="004C2962">
        <w:rPr>
          <w:rFonts w:eastAsia="Arial" w:cs="Arial"/>
          <w:szCs w:val="24"/>
        </w:rPr>
        <w:t>Commencing or executing any diligence to enforce payment</w:t>
      </w:r>
    </w:p>
    <w:p w14:paraId="2915C003" w14:textId="77777777" w:rsidR="005F2797" w:rsidRPr="004C2962" w:rsidRDefault="005F2797" w:rsidP="000C6DC8">
      <w:pPr>
        <w:pStyle w:val="ListParagraph"/>
        <w:numPr>
          <w:ilvl w:val="0"/>
          <w:numId w:val="34"/>
        </w:numPr>
        <w:rPr>
          <w:rFonts w:eastAsiaTheme="minorEastAsia" w:cs="Arial"/>
          <w:szCs w:val="24"/>
        </w:rPr>
      </w:pPr>
      <w:r w:rsidRPr="004C2962">
        <w:rPr>
          <w:rFonts w:eastAsia="Arial" w:cs="Arial"/>
          <w:szCs w:val="24"/>
        </w:rPr>
        <w:t>Founding on any debt owed by the person in presenting or concurring in the presentation of a petition for sequestration</w:t>
      </w:r>
    </w:p>
    <w:p w14:paraId="77E4A65B" w14:textId="51F72B25" w:rsidR="005F2797" w:rsidRPr="00544291" w:rsidRDefault="005F2797" w:rsidP="000C6DC8">
      <w:pPr>
        <w:pStyle w:val="ListParagraph"/>
        <w:numPr>
          <w:ilvl w:val="0"/>
          <w:numId w:val="34"/>
        </w:numPr>
        <w:rPr>
          <w:rFonts w:eastAsiaTheme="minorEastAsia" w:cs="Arial"/>
          <w:szCs w:val="24"/>
        </w:rPr>
      </w:pPr>
      <w:r w:rsidRPr="004C2962">
        <w:rPr>
          <w:rFonts w:eastAsia="Arial" w:cs="Arial"/>
          <w:szCs w:val="24"/>
        </w:rPr>
        <w:t>Receiving funds where an arrestment against the debtor has been granted.</w:t>
      </w:r>
    </w:p>
    <w:p w14:paraId="31EAF605" w14:textId="18403166" w:rsidR="005F2797" w:rsidRPr="004C2962" w:rsidRDefault="00EC436A" w:rsidP="000C6DC8">
      <w:pPr>
        <w:rPr>
          <w:rFonts w:cs="Arial"/>
          <w:szCs w:val="24"/>
        </w:rPr>
      </w:pPr>
      <w:r>
        <w:rPr>
          <w:rFonts w:eastAsia="Arial" w:cs="Arial"/>
          <w:szCs w:val="24"/>
        </w:rPr>
        <w:t>2.3</w:t>
      </w:r>
      <w:r>
        <w:rPr>
          <w:rFonts w:eastAsia="Arial" w:cs="Arial"/>
          <w:szCs w:val="24"/>
        </w:rPr>
        <w:tab/>
      </w:r>
      <w:r w:rsidR="005F2797" w:rsidRPr="004C2962">
        <w:rPr>
          <w:rFonts w:eastAsia="Arial" w:cs="Arial"/>
          <w:szCs w:val="24"/>
        </w:rPr>
        <w:t xml:space="preserve">In May 2021, the UK Government introduced the Debt Respite Scheme in England and Wales – aimed at providing breathing space for those seeking debt resolution. Two types of breathing space were introduced – a standard breathing </w:t>
      </w:r>
      <w:r w:rsidR="005F2797" w:rsidRPr="004C2962">
        <w:rPr>
          <w:rFonts w:eastAsia="Arial" w:cs="Arial"/>
          <w:szCs w:val="24"/>
        </w:rPr>
        <w:lastRenderedPageBreak/>
        <w:t xml:space="preserve">space and a mental health crisis breathing space. The differences of the standard breathing space to the moratorium in Scotland include:  </w:t>
      </w:r>
    </w:p>
    <w:p w14:paraId="1DECF449" w14:textId="77777777" w:rsidR="005F2797" w:rsidRPr="004C2962" w:rsidRDefault="005F2797" w:rsidP="000C6DC8">
      <w:pPr>
        <w:pStyle w:val="ListParagraph"/>
        <w:numPr>
          <w:ilvl w:val="0"/>
          <w:numId w:val="33"/>
        </w:numPr>
        <w:rPr>
          <w:rFonts w:eastAsiaTheme="minorEastAsia" w:cs="Arial"/>
          <w:szCs w:val="24"/>
        </w:rPr>
      </w:pPr>
      <w:r w:rsidRPr="004C2962">
        <w:rPr>
          <w:rFonts w:eastAsia="Arial" w:cs="Arial"/>
          <w:szCs w:val="24"/>
        </w:rPr>
        <w:t>a money adviser must apply for the scheme on behalf of their client</w:t>
      </w:r>
    </w:p>
    <w:p w14:paraId="26645F86" w14:textId="77777777" w:rsidR="005F2797" w:rsidRPr="004C2962" w:rsidRDefault="005F2797" w:rsidP="000C6DC8">
      <w:pPr>
        <w:pStyle w:val="ListParagraph"/>
        <w:numPr>
          <w:ilvl w:val="0"/>
          <w:numId w:val="33"/>
        </w:numPr>
        <w:rPr>
          <w:rFonts w:eastAsiaTheme="minorEastAsia" w:cs="Arial"/>
          <w:szCs w:val="24"/>
        </w:rPr>
      </w:pPr>
      <w:r w:rsidRPr="004C2962">
        <w:rPr>
          <w:rFonts w:eastAsia="Arial" w:cs="Arial"/>
          <w:szCs w:val="24"/>
        </w:rPr>
        <w:t>it lasts for up to 60 days</w:t>
      </w:r>
    </w:p>
    <w:p w14:paraId="73B16AB3" w14:textId="415708ED" w:rsidR="005F2797" w:rsidRPr="004C2962" w:rsidRDefault="005F2797" w:rsidP="000C6DC8">
      <w:pPr>
        <w:pStyle w:val="ListParagraph"/>
        <w:numPr>
          <w:ilvl w:val="0"/>
          <w:numId w:val="33"/>
        </w:numPr>
        <w:rPr>
          <w:rFonts w:eastAsiaTheme="minorEastAsia" w:cs="Arial"/>
          <w:szCs w:val="24"/>
        </w:rPr>
      </w:pPr>
      <w:r w:rsidRPr="004C2962">
        <w:rPr>
          <w:rFonts w:eastAsia="Arial" w:cs="Arial"/>
          <w:szCs w:val="24"/>
        </w:rPr>
        <w:t>interest and charges accrued during the moratorium period are not required to be paid - i.e. frozen</w:t>
      </w:r>
    </w:p>
    <w:p w14:paraId="785738C1" w14:textId="77777777" w:rsidR="005F2797" w:rsidRPr="004C2962" w:rsidRDefault="005F2797" w:rsidP="000C6DC8">
      <w:pPr>
        <w:pStyle w:val="ListParagraph"/>
        <w:numPr>
          <w:ilvl w:val="0"/>
          <w:numId w:val="33"/>
        </w:numPr>
        <w:rPr>
          <w:rFonts w:eastAsiaTheme="minorEastAsia" w:cs="Arial"/>
          <w:szCs w:val="24"/>
        </w:rPr>
      </w:pPr>
      <w:r w:rsidRPr="004C2962">
        <w:rPr>
          <w:rFonts w:eastAsia="Arial" w:cs="Arial"/>
          <w:szCs w:val="24"/>
        </w:rPr>
        <w:t>a midpoint review is required</w:t>
      </w:r>
    </w:p>
    <w:p w14:paraId="59D5B8B1" w14:textId="3CE9F9F2" w:rsidR="005F2797" w:rsidRPr="00544291" w:rsidRDefault="005F2797" w:rsidP="000C6DC8">
      <w:pPr>
        <w:pStyle w:val="ListParagraph"/>
        <w:numPr>
          <w:ilvl w:val="0"/>
          <w:numId w:val="33"/>
        </w:numPr>
        <w:rPr>
          <w:rFonts w:eastAsiaTheme="minorEastAsia" w:cs="Arial"/>
          <w:szCs w:val="24"/>
        </w:rPr>
      </w:pPr>
      <w:r w:rsidRPr="004C2962">
        <w:rPr>
          <w:rFonts w:eastAsia="Arial" w:cs="Arial"/>
          <w:szCs w:val="24"/>
        </w:rPr>
        <w:t>the scheme can be cancelled if ongoing liabilities are not paid during the period</w:t>
      </w:r>
      <w:r w:rsidR="00F114A4">
        <w:rPr>
          <w:rFonts w:eastAsia="Arial" w:cs="Arial"/>
          <w:szCs w:val="24"/>
        </w:rPr>
        <w:t>.</w:t>
      </w:r>
    </w:p>
    <w:p w14:paraId="6A9EAABD" w14:textId="4E0B04D9" w:rsidR="005F2797" w:rsidRPr="004C2962" w:rsidRDefault="00EC436A" w:rsidP="000C6DC8">
      <w:pPr>
        <w:rPr>
          <w:rFonts w:cs="Arial"/>
          <w:szCs w:val="24"/>
        </w:rPr>
      </w:pPr>
      <w:r>
        <w:rPr>
          <w:rFonts w:eastAsia="Arial" w:cs="Arial"/>
          <w:szCs w:val="24"/>
        </w:rPr>
        <w:t>2.4</w:t>
      </w:r>
      <w:r>
        <w:rPr>
          <w:rFonts w:eastAsia="Arial" w:cs="Arial"/>
          <w:szCs w:val="24"/>
        </w:rPr>
        <w:tab/>
      </w:r>
      <w:r w:rsidR="005F2797" w:rsidRPr="004C2962">
        <w:rPr>
          <w:rFonts w:eastAsia="Arial" w:cs="Arial"/>
          <w:szCs w:val="24"/>
        </w:rPr>
        <w:t xml:space="preserve">The mental health crisis </w:t>
      </w:r>
      <w:r w:rsidR="008E3B7E">
        <w:rPr>
          <w:rFonts w:eastAsia="Arial" w:cs="Arial"/>
          <w:szCs w:val="24"/>
        </w:rPr>
        <w:t>breathing space</w:t>
      </w:r>
      <w:r w:rsidR="005F2797" w:rsidRPr="004C2962">
        <w:rPr>
          <w:rFonts w:eastAsia="Arial" w:cs="Arial"/>
          <w:szCs w:val="24"/>
        </w:rPr>
        <w:t xml:space="preserve"> provides similar protections to the standard breathing space but lasts for the length of the mental health crisis treatment plus a further 30 days.  </w:t>
      </w:r>
    </w:p>
    <w:p w14:paraId="497E0A76" w14:textId="58108D02" w:rsidR="005F2797" w:rsidRPr="004C2962" w:rsidRDefault="00EC436A" w:rsidP="000C6DC8">
      <w:pPr>
        <w:rPr>
          <w:rFonts w:cs="Arial"/>
          <w:szCs w:val="24"/>
        </w:rPr>
      </w:pPr>
      <w:r>
        <w:rPr>
          <w:rFonts w:eastAsia="Arial" w:cs="Arial"/>
          <w:szCs w:val="24"/>
        </w:rPr>
        <w:t>2.5</w:t>
      </w:r>
      <w:r>
        <w:rPr>
          <w:rFonts w:eastAsia="Arial" w:cs="Arial"/>
          <w:szCs w:val="24"/>
        </w:rPr>
        <w:tab/>
      </w:r>
      <w:r w:rsidR="005F2797" w:rsidRPr="004C2962">
        <w:rPr>
          <w:rFonts w:eastAsia="Arial" w:cs="Arial"/>
          <w:szCs w:val="24"/>
        </w:rPr>
        <w:t xml:space="preserve">The group considered the time period for </w:t>
      </w:r>
      <w:r w:rsidR="008E3B7E">
        <w:rPr>
          <w:rFonts w:eastAsia="Arial" w:cs="Arial"/>
          <w:szCs w:val="24"/>
        </w:rPr>
        <w:t xml:space="preserve">the Scottish </w:t>
      </w:r>
      <w:r w:rsidR="005F2797" w:rsidRPr="004C2962">
        <w:rPr>
          <w:rFonts w:eastAsia="Arial" w:cs="Arial"/>
          <w:szCs w:val="24"/>
        </w:rPr>
        <w:t xml:space="preserve">moratorium and whether additional protections/provisions were required to improve moratorium in Scotland – such as those in </w:t>
      </w:r>
      <w:r w:rsidR="00F56804">
        <w:rPr>
          <w:rFonts w:eastAsia="Arial" w:cs="Arial"/>
          <w:szCs w:val="24"/>
        </w:rPr>
        <w:t>breathing space</w:t>
      </w:r>
      <w:r w:rsidR="005F2797" w:rsidRPr="004C2962">
        <w:rPr>
          <w:rFonts w:eastAsia="Arial" w:cs="Arial"/>
          <w:szCs w:val="24"/>
        </w:rPr>
        <w:t xml:space="preserve">. </w:t>
      </w:r>
    </w:p>
    <w:p w14:paraId="32EFC8A3" w14:textId="7F22476B" w:rsidR="005F2797" w:rsidRPr="00544291" w:rsidRDefault="005F2797" w:rsidP="00544291">
      <w:pPr>
        <w:pStyle w:val="Heading2"/>
      </w:pPr>
      <w:bookmarkStart w:id="5" w:name="_Toc100244822"/>
      <w:bookmarkStart w:id="6" w:name="_Toc100245001"/>
      <w:r w:rsidRPr="004C2962">
        <w:rPr>
          <w:rFonts w:eastAsia="Arial"/>
        </w:rPr>
        <w:t xml:space="preserve">Freezing of </w:t>
      </w:r>
      <w:r w:rsidR="00AF5259">
        <w:rPr>
          <w:rFonts w:eastAsia="Arial"/>
        </w:rPr>
        <w:t>I</w:t>
      </w:r>
      <w:r w:rsidRPr="004C2962">
        <w:rPr>
          <w:rFonts w:eastAsia="Arial"/>
        </w:rPr>
        <w:t xml:space="preserve">nterest and </w:t>
      </w:r>
      <w:r w:rsidR="00AF5259">
        <w:rPr>
          <w:rFonts w:eastAsia="Arial"/>
        </w:rPr>
        <w:t>C</w:t>
      </w:r>
      <w:r w:rsidRPr="004C2962">
        <w:rPr>
          <w:rFonts w:eastAsia="Arial"/>
        </w:rPr>
        <w:t>harges</w:t>
      </w:r>
      <w:bookmarkEnd w:id="5"/>
      <w:bookmarkEnd w:id="6"/>
      <w:r w:rsidRPr="004C2962">
        <w:rPr>
          <w:rFonts w:eastAsia="Arial" w:cs="Arial"/>
          <w:szCs w:val="24"/>
        </w:rPr>
        <w:t xml:space="preserve"> </w:t>
      </w:r>
    </w:p>
    <w:p w14:paraId="3ACB17E2" w14:textId="031B1B21" w:rsidR="005F2797" w:rsidRPr="00544291" w:rsidRDefault="005F2797" w:rsidP="00544291">
      <w:pPr>
        <w:pStyle w:val="Heading3"/>
      </w:pPr>
      <w:r w:rsidRPr="00244F85">
        <w:rPr>
          <w:rFonts w:eastAsia="Arial"/>
        </w:rPr>
        <w:t>Background</w:t>
      </w:r>
    </w:p>
    <w:p w14:paraId="659FD25D" w14:textId="579585CF" w:rsidR="00855CDD" w:rsidRPr="004C2962" w:rsidRDefault="00EC436A" w:rsidP="000C6DC8">
      <w:pPr>
        <w:rPr>
          <w:rFonts w:cs="Arial"/>
          <w:szCs w:val="24"/>
        </w:rPr>
      </w:pPr>
      <w:r>
        <w:rPr>
          <w:rFonts w:eastAsia="Arial" w:cs="Arial"/>
          <w:szCs w:val="24"/>
        </w:rPr>
        <w:t>2.6</w:t>
      </w:r>
      <w:r>
        <w:rPr>
          <w:rFonts w:eastAsia="Arial" w:cs="Arial"/>
          <w:szCs w:val="24"/>
        </w:rPr>
        <w:tab/>
      </w:r>
      <w:r w:rsidR="005F2797" w:rsidRPr="004C2962">
        <w:rPr>
          <w:rFonts w:eastAsia="Arial" w:cs="Arial"/>
          <w:szCs w:val="24"/>
        </w:rPr>
        <w:t>The group considered whether interest and charges on qualifying debts incurred prior to the moratorium should be frozen during that period. To assist with the group’s discussions on this topic, representatives from the</w:t>
      </w:r>
      <w:r w:rsidR="007E1F90">
        <w:rPr>
          <w:rFonts w:eastAsia="Arial" w:cs="Arial"/>
          <w:szCs w:val="24"/>
        </w:rPr>
        <w:t xml:space="preserve"> UK</w:t>
      </w:r>
      <w:r w:rsidR="005F2797" w:rsidRPr="004C2962">
        <w:rPr>
          <w:rFonts w:eastAsia="Arial" w:cs="Arial"/>
          <w:szCs w:val="24"/>
        </w:rPr>
        <w:t xml:space="preserve"> Insolvency Service as well as money advisers and creditors</w:t>
      </w:r>
      <w:r w:rsidR="005F2797" w:rsidRPr="004C2962">
        <w:rPr>
          <w:rStyle w:val="FootnoteReference"/>
          <w:rFonts w:eastAsia="Arial" w:cs="Arial"/>
          <w:szCs w:val="24"/>
        </w:rPr>
        <w:footnoteReference w:id="1"/>
      </w:r>
      <w:r w:rsidR="005F2797" w:rsidRPr="004C2962">
        <w:rPr>
          <w:rFonts w:eastAsia="Arial" w:cs="Arial"/>
          <w:szCs w:val="24"/>
        </w:rPr>
        <w:t xml:space="preserve"> who have interacted with </w:t>
      </w:r>
      <w:r w:rsidR="00F56804">
        <w:rPr>
          <w:rFonts w:eastAsia="Arial" w:cs="Arial"/>
          <w:szCs w:val="24"/>
        </w:rPr>
        <w:t>breathing space</w:t>
      </w:r>
      <w:r w:rsidR="005F2797" w:rsidRPr="004C2962">
        <w:rPr>
          <w:rFonts w:eastAsia="Arial" w:cs="Arial"/>
          <w:szCs w:val="24"/>
        </w:rPr>
        <w:t xml:space="preserve"> attended some of the group’s meetings. They were able to provide their perspective on how the </w:t>
      </w:r>
      <w:r w:rsidR="00F56804">
        <w:rPr>
          <w:rFonts w:eastAsia="Arial" w:cs="Arial"/>
          <w:szCs w:val="24"/>
        </w:rPr>
        <w:t>breathing space</w:t>
      </w:r>
      <w:r w:rsidR="005F2797" w:rsidRPr="004C2962">
        <w:rPr>
          <w:rFonts w:eastAsia="Arial" w:cs="Arial"/>
          <w:szCs w:val="24"/>
        </w:rPr>
        <w:t xml:space="preserve"> processes have worked to date. </w:t>
      </w:r>
    </w:p>
    <w:p w14:paraId="4BCAC1DD" w14:textId="5705C893" w:rsidR="005F2797" w:rsidRPr="00544291" w:rsidRDefault="005F2797" w:rsidP="00544291">
      <w:pPr>
        <w:pStyle w:val="Heading3"/>
      </w:pPr>
      <w:r w:rsidRPr="00244F85">
        <w:rPr>
          <w:rFonts w:eastAsia="Arial"/>
        </w:rPr>
        <w:lastRenderedPageBreak/>
        <w:t>Discussion</w:t>
      </w:r>
    </w:p>
    <w:p w14:paraId="011AA917" w14:textId="63F4384F" w:rsidR="005F2797" w:rsidRPr="004C2962" w:rsidRDefault="00EC436A" w:rsidP="000C6DC8">
      <w:pPr>
        <w:rPr>
          <w:rFonts w:cs="Arial"/>
          <w:szCs w:val="24"/>
        </w:rPr>
      </w:pPr>
      <w:r>
        <w:rPr>
          <w:rFonts w:eastAsia="Arial" w:cs="Arial"/>
          <w:szCs w:val="24"/>
        </w:rPr>
        <w:t>2.7</w:t>
      </w:r>
      <w:r>
        <w:rPr>
          <w:rFonts w:eastAsia="Arial" w:cs="Arial"/>
          <w:szCs w:val="24"/>
        </w:rPr>
        <w:tab/>
      </w:r>
      <w:r w:rsidR="005F2797" w:rsidRPr="004C2962">
        <w:rPr>
          <w:rFonts w:eastAsia="Arial" w:cs="Arial"/>
          <w:szCs w:val="24"/>
        </w:rPr>
        <w:t xml:space="preserve">At the initial stages of the group’s discussion the general consensus was that freezing interest and charges would be a positive amendment to the current moratorium in Scotland as it would ease some of the stress being experienced by those in debt. </w:t>
      </w:r>
    </w:p>
    <w:p w14:paraId="7B5E067A" w14:textId="27299A9E" w:rsidR="005F2797" w:rsidRPr="004C2962" w:rsidRDefault="00EC436A" w:rsidP="000C6DC8">
      <w:pPr>
        <w:rPr>
          <w:rFonts w:cs="Arial"/>
          <w:szCs w:val="24"/>
        </w:rPr>
      </w:pPr>
      <w:r>
        <w:rPr>
          <w:rFonts w:eastAsia="Arial" w:cs="Arial"/>
          <w:szCs w:val="24"/>
        </w:rPr>
        <w:t>2.8</w:t>
      </w:r>
      <w:r>
        <w:rPr>
          <w:rFonts w:eastAsia="Arial" w:cs="Arial"/>
          <w:szCs w:val="24"/>
        </w:rPr>
        <w:tab/>
      </w:r>
      <w:r w:rsidR="005F2797" w:rsidRPr="004C2962">
        <w:rPr>
          <w:rFonts w:eastAsia="Arial" w:cs="Arial"/>
          <w:szCs w:val="24"/>
        </w:rPr>
        <w:t xml:space="preserve">Although most creditors may already freeze interest and charges where clients are experiencing difficulty, this is not always the case. For example, those in financial services have a regulatory obligation to consider waiving interest and fees when granting forbearance whilst other creditors such as HMRC and Local Authorities are not under such an obligation. Therefore, the introduction of a statutory requirement to freeze interest and charges would be welcomed. </w:t>
      </w:r>
    </w:p>
    <w:p w14:paraId="5ABC8C71" w14:textId="6F2C15C4" w:rsidR="005F2797" w:rsidRPr="004C2962" w:rsidRDefault="00EC436A" w:rsidP="000C6DC8">
      <w:pPr>
        <w:rPr>
          <w:rFonts w:cs="Arial"/>
          <w:szCs w:val="24"/>
        </w:rPr>
      </w:pPr>
      <w:r>
        <w:rPr>
          <w:rFonts w:eastAsia="Arial" w:cs="Arial"/>
          <w:szCs w:val="24"/>
        </w:rPr>
        <w:t>2.9</w:t>
      </w:r>
      <w:r>
        <w:rPr>
          <w:rFonts w:eastAsia="Arial" w:cs="Arial"/>
          <w:szCs w:val="24"/>
        </w:rPr>
        <w:tab/>
      </w:r>
      <w:r w:rsidR="005F2797" w:rsidRPr="004C2962">
        <w:rPr>
          <w:rFonts w:eastAsia="Arial" w:cs="Arial"/>
          <w:szCs w:val="24"/>
        </w:rPr>
        <w:t xml:space="preserve">Representatives who joined the group to discuss early experience of </w:t>
      </w:r>
      <w:r w:rsidR="009A7D96">
        <w:rPr>
          <w:rFonts w:eastAsia="Arial" w:cs="Arial"/>
          <w:szCs w:val="24"/>
        </w:rPr>
        <w:t>breathing space</w:t>
      </w:r>
      <w:r w:rsidR="005F2797" w:rsidRPr="004C2962">
        <w:rPr>
          <w:rFonts w:eastAsia="Arial" w:cs="Arial"/>
          <w:szCs w:val="24"/>
        </w:rPr>
        <w:t xml:space="preserve"> were positive about this aspect of the scheme. However, they also highlighted the challenges faced on a practical level. Among the most challenging was matching the debt and creditor to the debtor. In the main, this appears to be caused by a lack of accuracy with the data entered into the IT system underpinning the scheme. </w:t>
      </w:r>
    </w:p>
    <w:p w14:paraId="4ADC3989" w14:textId="19EDD75C" w:rsidR="005F2797" w:rsidRPr="004C2962" w:rsidRDefault="00EC436A" w:rsidP="000C6DC8">
      <w:pPr>
        <w:rPr>
          <w:rFonts w:cs="Arial"/>
          <w:szCs w:val="24"/>
        </w:rPr>
      </w:pPr>
      <w:r>
        <w:rPr>
          <w:rFonts w:eastAsia="Arial" w:cs="Arial"/>
          <w:szCs w:val="24"/>
        </w:rPr>
        <w:t>2.10</w:t>
      </w:r>
      <w:r>
        <w:rPr>
          <w:rFonts w:eastAsia="Arial" w:cs="Arial"/>
          <w:szCs w:val="24"/>
        </w:rPr>
        <w:tab/>
      </w:r>
      <w:r w:rsidR="005F2797" w:rsidRPr="004C2962">
        <w:rPr>
          <w:rFonts w:eastAsia="Arial" w:cs="Arial"/>
          <w:szCs w:val="24"/>
        </w:rPr>
        <w:t xml:space="preserve">Given this information, the group stressed that a highly effective and efficient IT system would be fundamental if this were to be adopted in Scotland. The group acknowledged that </w:t>
      </w:r>
      <w:r w:rsidR="00CE4B2F">
        <w:rPr>
          <w:rFonts w:eastAsia="Arial" w:cs="Arial"/>
          <w:szCs w:val="24"/>
        </w:rPr>
        <w:t>Accountant in Bankruptcy (“</w:t>
      </w:r>
      <w:r w:rsidR="005F2797" w:rsidRPr="004C2962">
        <w:rPr>
          <w:rFonts w:eastAsia="Arial" w:cs="Arial"/>
          <w:szCs w:val="24"/>
        </w:rPr>
        <w:t>AiB</w:t>
      </w:r>
      <w:r w:rsidR="00CE4B2F">
        <w:rPr>
          <w:rFonts w:eastAsia="Arial" w:cs="Arial"/>
          <w:szCs w:val="24"/>
        </w:rPr>
        <w:t>”)</w:t>
      </w:r>
      <w:r w:rsidR="005F2797" w:rsidRPr="004C2962">
        <w:rPr>
          <w:rFonts w:eastAsia="Arial" w:cs="Arial"/>
          <w:szCs w:val="24"/>
        </w:rPr>
        <w:t xml:space="preserve"> operates efficient systems which provide the necessary communication between the adviser and creditors for statutory debt solutions. These IT systems work well for bankruptcy, </w:t>
      </w:r>
      <w:r w:rsidR="00D37120">
        <w:rPr>
          <w:rFonts w:eastAsia="Arial" w:cs="Arial"/>
          <w:szCs w:val="24"/>
        </w:rPr>
        <w:t>Debt Arrangement Scheme (</w:t>
      </w:r>
      <w:r w:rsidR="00CE4B2F">
        <w:rPr>
          <w:rFonts w:eastAsia="Arial" w:cs="Arial"/>
          <w:szCs w:val="24"/>
        </w:rPr>
        <w:t>“</w:t>
      </w:r>
      <w:r w:rsidR="005F2797" w:rsidRPr="004C2962">
        <w:rPr>
          <w:rFonts w:eastAsia="Arial" w:cs="Arial"/>
          <w:szCs w:val="24"/>
        </w:rPr>
        <w:t>DAS</w:t>
      </w:r>
      <w:r w:rsidR="00CE4B2F">
        <w:rPr>
          <w:rFonts w:eastAsia="Arial" w:cs="Arial"/>
          <w:szCs w:val="24"/>
        </w:rPr>
        <w:t>”</w:t>
      </w:r>
      <w:r w:rsidR="00D37120">
        <w:rPr>
          <w:rFonts w:eastAsia="Arial" w:cs="Arial"/>
          <w:szCs w:val="24"/>
        </w:rPr>
        <w:t>)</w:t>
      </w:r>
      <w:r w:rsidR="005F2797" w:rsidRPr="004C2962">
        <w:rPr>
          <w:rFonts w:eastAsia="Arial" w:cs="Arial"/>
          <w:szCs w:val="24"/>
        </w:rPr>
        <w:t xml:space="preserve"> and </w:t>
      </w:r>
      <w:r w:rsidR="00CE4B2F">
        <w:rPr>
          <w:rFonts w:eastAsia="Arial" w:cs="Arial"/>
          <w:szCs w:val="24"/>
        </w:rPr>
        <w:t>Protected Trust Deeds (“</w:t>
      </w:r>
      <w:r w:rsidR="005F2797" w:rsidRPr="004C2962">
        <w:rPr>
          <w:rFonts w:eastAsia="Arial" w:cs="Arial"/>
          <w:szCs w:val="24"/>
        </w:rPr>
        <w:t>PTD</w:t>
      </w:r>
      <w:r w:rsidR="00CE4B2F">
        <w:rPr>
          <w:rFonts w:eastAsia="Arial" w:cs="Arial"/>
          <w:szCs w:val="24"/>
        </w:rPr>
        <w:t>”)</w:t>
      </w:r>
      <w:r w:rsidR="005F2797" w:rsidRPr="004C2962">
        <w:rPr>
          <w:rFonts w:eastAsia="Arial" w:cs="Arial"/>
          <w:szCs w:val="24"/>
        </w:rPr>
        <w:t xml:space="preserve"> – BASYS, eDEN and ASTRA respectively. The group believe if a similar system is established for the moratorium process this may reduce some, if not all, of the challenges experienced with </w:t>
      </w:r>
      <w:r w:rsidR="00F56804">
        <w:rPr>
          <w:rFonts w:eastAsia="Arial" w:cs="Arial"/>
          <w:szCs w:val="24"/>
        </w:rPr>
        <w:t>breathing space</w:t>
      </w:r>
      <w:r w:rsidR="005F2797" w:rsidRPr="004C2962">
        <w:rPr>
          <w:rFonts w:eastAsia="Arial" w:cs="Arial"/>
          <w:szCs w:val="24"/>
        </w:rPr>
        <w:t>.</w:t>
      </w:r>
    </w:p>
    <w:p w14:paraId="7D98236B" w14:textId="336516A0" w:rsidR="005F2797" w:rsidRPr="004C2962" w:rsidRDefault="00EC436A" w:rsidP="000C6DC8">
      <w:pPr>
        <w:rPr>
          <w:rFonts w:cs="Arial"/>
          <w:szCs w:val="24"/>
        </w:rPr>
      </w:pPr>
      <w:r>
        <w:rPr>
          <w:rFonts w:eastAsia="Arial" w:cs="Arial"/>
          <w:szCs w:val="24"/>
        </w:rPr>
        <w:t>2.11</w:t>
      </w:r>
      <w:r>
        <w:rPr>
          <w:rFonts w:eastAsia="Arial" w:cs="Arial"/>
          <w:szCs w:val="24"/>
        </w:rPr>
        <w:tab/>
      </w:r>
      <w:r w:rsidR="005F2797" w:rsidRPr="004C2962">
        <w:rPr>
          <w:rFonts w:eastAsia="Arial" w:cs="Arial"/>
          <w:szCs w:val="24"/>
        </w:rPr>
        <w:t>Adopting an IT system in this way would also allow for the moratorium register to be private rather than public - as it is currently. The group believe this would also be a positive change.</w:t>
      </w:r>
    </w:p>
    <w:p w14:paraId="425FFF31" w14:textId="090013B3" w:rsidR="005F2797" w:rsidRPr="004C2962" w:rsidRDefault="005C0460" w:rsidP="000C6DC8">
      <w:pPr>
        <w:rPr>
          <w:rFonts w:cs="Arial"/>
          <w:szCs w:val="24"/>
        </w:rPr>
      </w:pPr>
      <w:r>
        <w:rPr>
          <w:rFonts w:eastAsia="Arial" w:cs="Arial"/>
          <w:szCs w:val="24"/>
        </w:rPr>
        <w:lastRenderedPageBreak/>
        <w:t>2.12</w:t>
      </w:r>
      <w:r w:rsidR="00EC436A">
        <w:rPr>
          <w:rFonts w:eastAsia="Arial" w:cs="Arial"/>
          <w:szCs w:val="24"/>
        </w:rPr>
        <w:tab/>
      </w:r>
      <w:r w:rsidR="005F2797" w:rsidRPr="004C2962">
        <w:rPr>
          <w:rFonts w:eastAsia="Arial" w:cs="Arial"/>
          <w:szCs w:val="24"/>
        </w:rPr>
        <w:t xml:space="preserve">The group acknowledged that not all creditors may be registered on such an IT system – particularly smaller creditors or creditors who are individuals rather than business operations. This would result in those creditors requiring a postal notification as they may not be able to receive an electronic notification through the IT system. The group believe AiB would be best positioned to send postal notifications as they currently have a similar role in the other systems. </w:t>
      </w:r>
    </w:p>
    <w:p w14:paraId="2D6674A2" w14:textId="5FE571C3" w:rsidR="005F2797" w:rsidRPr="004C2962" w:rsidRDefault="005C0460" w:rsidP="000C6DC8">
      <w:pPr>
        <w:rPr>
          <w:rFonts w:cs="Arial"/>
          <w:szCs w:val="24"/>
        </w:rPr>
      </w:pPr>
      <w:r>
        <w:rPr>
          <w:rFonts w:eastAsia="Arial" w:cs="Arial"/>
          <w:szCs w:val="24"/>
        </w:rPr>
        <w:t>2.13</w:t>
      </w:r>
      <w:r w:rsidR="00EC436A">
        <w:rPr>
          <w:rFonts w:eastAsia="Arial" w:cs="Arial"/>
          <w:szCs w:val="24"/>
        </w:rPr>
        <w:tab/>
      </w:r>
      <w:r w:rsidR="005F2797" w:rsidRPr="004C2962">
        <w:rPr>
          <w:rFonts w:eastAsia="Arial" w:cs="Arial"/>
          <w:szCs w:val="24"/>
        </w:rPr>
        <w:t xml:space="preserve">During the group’s discussions they recognised that only the interest and charges of qualifying debts are frozen in </w:t>
      </w:r>
      <w:r w:rsidR="00F56804">
        <w:rPr>
          <w:rFonts w:eastAsia="Arial" w:cs="Arial"/>
          <w:szCs w:val="24"/>
        </w:rPr>
        <w:t>breathing space</w:t>
      </w:r>
      <w:r w:rsidR="005F2797" w:rsidRPr="004C2962">
        <w:rPr>
          <w:rFonts w:eastAsia="Arial" w:cs="Arial"/>
          <w:szCs w:val="24"/>
        </w:rPr>
        <w:t>. For example, the interest on mortgage arrears is frozen, however, the interest on the mortgage itself is not. Therefore, clarity on the type of debts for which interest and charges should be frozen would be required before such a provision is adopted in Scotland. The group also recognised the potential impact on the formulation of claims in any subsequent formal insolvency solution and this would require consideration if the freezing of interest and charges was applied.</w:t>
      </w:r>
    </w:p>
    <w:p w14:paraId="4C48B0B3" w14:textId="38581D33" w:rsidR="005F2797" w:rsidRPr="004C2962" w:rsidRDefault="005C0460" w:rsidP="000C6DC8">
      <w:pPr>
        <w:rPr>
          <w:rFonts w:cs="Arial"/>
          <w:szCs w:val="24"/>
        </w:rPr>
      </w:pPr>
      <w:r>
        <w:rPr>
          <w:rFonts w:eastAsia="Arial" w:cs="Arial"/>
          <w:szCs w:val="24"/>
        </w:rPr>
        <w:t>2.14</w:t>
      </w:r>
      <w:r w:rsidR="00EC436A">
        <w:rPr>
          <w:rFonts w:eastAsia="Arial" w:cs="Arial"/>
          <w:szCs w:val="24"/>
        </w:rPr>
        <w:tab/>
      </w:r>
      <w:r w:rsidR="005F2797" w:rsidRPr="004C2962">
        <w:rPr>
          <w:rFonts w:eastAsia="Arial" w:cs="Arial"/>
          <w:szCs w:val="24"/>
        </w:rPr>
        <w:t xml:space="preserve">The group also discussed whether further protections should be considered beyond the freezing of interest and charges such as the prevention of repossessions as well as creditors contacting individuals about a debt included in the moratorium. While the group considered these as positive steps there were concerns raised about any unintended consequences resulting from a potentially prolonged moratorium period. </w:t>
      </w:r>
    </w:p>
    <w:p w14:paraId="458FC49A" w14:textId="7094E28E" w:rsidR="000C6DC8" w:rsidRPr="008447AA" w:rsidRDefault="005C0460" w:rsidP="000C6DC8">
      <w:pPr>
        <w:rPr>
          <w:rFonts w:cs="Arial"/>
          <w:szCs w:val="24"/>
        </w:rPr>
      </w:pPr>
      <w:r>
        <w:rPr>
          <w:rFonts w:eastAsia="Arial" w:cs="Arial"/>
          <w:szCs w:val="24"/>
        </w:rPr>
        <w:t>2.15</w:t>
      </w:r>
      <w:r w:rsidR="00EC436A">
        <w:rPr>
          <w:rFonts w:eastAsia="Arial" w:cs="Arial"/>
          <w:szCs w:val="24"/>
        </w:rPr>
        <w:tab/>
      </w:r>
      <w:r w:rsidR="005F2797" w:rsidRPr="004C2962">
        <w:rPr>
          <w:rFonts w:eastAsia="Arial" w:cs="Arial"/>
          <w:szCs w:val="24"/>
        </w:rPr>
        <w:t xml:space="preserve">During the group’s discussions it was highlighted that the current Scottish moratorium system may not protect the individual from being pursued for all debts, such as a Direct Earnings Attachment. This can impact on the individual trying to seek a debt solution.  </w:t>
      </w:r>
    </w:p>
    <w:p w14:paraId="595F2D1E" w14:textId="3CE3E232" w:rsidR="0024508D" w:rsidRDefault="00EC436A" w:rsidP="000C6DC8">
      <w:pPr>
        <w:rPr>
          <w:rFonts w:eastAsia="Arial" w:cs="Arial"/>
          <w:szCs w:val="24"/>
        </w:rPr>
      </w:pPr>
      <w:r>
        <w:rPr>
          <w:rFonts w:eastAsia="Arial" w:cs="Arial"/>
          <w:szCs w:val="24"/>
        </w:rPr>
        <w:t>2.1</w:t>
      </w:r>
      <w:r w:rsidR="005C0460">
        <w:rPr>
          <w:rFonts w:eastAsia="Arial" w:cs="Arial"/>
          <w:szCs w:val="24"/>
        </w:rPr>
        <w:t>6</w:t>
      </w:r>
      <w:r>
        <w:rPr>
          <w:rFonts w:eastAsia="Arial" w:cs="Arial"/>
          <w:szCs w:val="24"/>
        </w:rPr>
        <w:tab/>
      </w:r>
      <w:r w:rsidR="005F2797" w:rsidRPr="004C2962">
        <w:rPr>
          <w:rFonts w:eastAsia="Arial" w:cs="Arial"/>
          <w:szCs w:val="24"/>
        </w:rPr>
        <w:t xml:space="preserve">In light of these points, the group believe it would be beneficial for a review to be undertaken on the types of debt included in the moratorium and what interest/charges would be frozen. They accept that such an undertaking may form part of stage 3 of the wider review. </w:t>
      </w:r>
    </w:p>
    <w:p w14:paraId="0D696040" w14:textId="77777777" w:rsidR="008447AA" w:rsidRPr="00544291" w:rsidRDefault="008447AA" w:rsidP="000C6DC8">
      <w:pPr>
        <w:rPr>
          <w:rFonts w:cs="Arial"/>
          <w:szCs w:val="24"/>
        </w:rPr>
      </w:pPr>
    </w:p>
    <w:p w14:paraId="487DAFC2" w14:textId="5ADF5652" w:rsidR="005F2797" w:rsidRPr="00544291" w:rsidRDefault="005F2797" w:rsidP="00544291">
      <w:pPr>
        <w:pStyle w:val="Heading3"/>
      </w:pPr>
      <w:r w:rsidRPr="008E2E0E">
        <w:rPr>
          <w:rFonts w:eastAsia="Arial"/>
        </w:rPr>
        <w:lastRenderedPageBreak/>
        <w:t>Recommendation</w:t>
      </w:r>
      <w:r w:rsidRPr="004C2962">
        <w:rPr>
          <w:rFonts w:eastAsia="Arial"/>
        </w:rPr>
        <w:t xml:space="preserve"> </w:t>
      </w:r>
    </w:p>
    <w:p w14:paraId="77F53B54" w14:textId="6EFDCA85" w:rsidR="005F2797" w:rsidRPr="00544291" w:rsidRDefault="00EC436A" w:rsidP="000C6DC8">
      <w:pPr>
        <w:pStyle w:val="ListParagraph"/>
        <w:numPr>
          <w:ilvl w:val="0"/>
          <w:numId w:val="58"/>
        </w:numPr>
        <w:rPr>
          <w:rFonts w:cs="Arial"/>
          <w:szCs w:val="24"/>
        </w:rPr>
      </w:pPr>
      <w:r w:rsidRPr="00EC436A">
        <w:rPr>
          <w:rFonts w:eastAsia="Arial" w:cs="Arial"/>
          <w:b/>
          <w:szCs w:val="24"/>
        </w:rPr>
        <w:t>Recommendation 1</w:t>
      </w:r>
      <w:r>
        <w:rPr>
          <w:rFonts w:eastAsia="Arial" w:cs="Arial"/>
          <w:szCs w:val="24"/>
        </w:rPr>
        <w:t xml:space="preserve"> - </w:t>
      </w:r>
      <w:r w:rsidR="005F2797" w:rsidRPr="006E7023">
        <w:rPr>
          <w:rFonts w:eastAsia="Arial" w:cs="Arial"/>
          <w:szCs w:val="24"/>
        </w:rPr>
        <w:t>The group recommends introducing the freezing of interest and charges on debts in Scotland’s moratorium. They acknowledge that introducing this provision would fundamentally change the current moratorium process in Scotland. Currently the onus is on the creditor to check the public register prior to undertaking any form of diligence. This would no longer be feasible if creditors were expected to freeze their interest and charges - this would require notification in order that the freeze is enacted as soon as possible.</w:t>
      </w:r>
    </w:p>
    <w:p w14:paraId="194F40DD" w14:textId="77777777" w:rsidR="00544291" w:rsidRPr="00544291" w:rsidRDefault="00544291" w:rsidP="00544291">
      <w:pPr>
        <w:pStyle w:val="ListParagraph"/>
        <w:rPr>
          <w:rFonts w:cs="Arial"/>
          <w:szCs w:val="24"/>
        </w:rPr>
      </w:pPr>
    </w:p>
    <w:p w14:paraId="7EF22B1C" w14:textId="73906702" w:rsidR="005F2797" w:rsidRPr="00544291" w:rsidRDefault="00EC436A" w:rsidP="000C6DC8">
      <w:pPr>
        <w:pStyle w:val="ListParagraph"/>
        <w:numPr>
          <w:ilvl w:val="0"/>
          <w:numId w:val="58"/>
        </w:numPr>
        <w:rPr>
          <w:rFonts w:cs="Arial"/>
          <w:szCs w:val="24"/>
        </w:rPr>
      </w:pPr>
      <w:r w:rsidRPr="00EC436A">
        <w:rPr>
          <w:rFonts w:eastAsia="Arial" w:cs="Arial"/>
          <w:b/>
          <w:szCs w:val="24"/>
        </w:rPr>
        <w:t>R</w:t>
      </w:r>
      <w:r>
        <w:rPr>
          <w:rFonts w:eastAsia="Arial" w:cs="Arial"/>
          <w:b/>
          <w:szCs w:val="24"/>
        </w:rPr>
        <w:t xml:space="preserve">ecommendation </w:t>
      </w:r>
      <w:r w:rsidR="00CE4B2F">
        <w:rPr>
          <w:rFonts w:eastAsia="Arial" w:cs="Arial"/>
          <w:b/>
          <w:szCs w:val="24"/>
        </w:rPr>
        <w:t>2</w:t>
      </w:r>
      <w:r w:rsidR="00CE4B2F">
        <w:rPr>
          <w:rFonts w:eastAsia="Arial" w:cs="Arial"/>
          <w:szCs w:val="24"/>
        </w:rPr>
        <w:t xml:space="preserve"> -</w:t>
      </w:r>
      <w:r>
        <w:rPr>
          <w:rFonts w:eastAsia="Arial" w:cs="Arial"/>
          <w:szCs w:val="24"/>
        </w:rPr>
        <w:t xml:space="preserve"> </w:t>
      </w:r>
      <w:r w:rsidR="005F2797" w:rsidRPr="006E7023">
        <w:rPr>
          <w:rFonts w:eastAsia="Arial" w:cs="Arial"/>
          <w:szCs w:val="24"/>
        </w:rPr>
        <w:t>The group recognise that by changing the process in this way a money adviser would be required to apply for the moratorium on their client’s behalf. The group believe using IT systems already developed for Scotland’s statutory debt solutions would ensure the efficiency of the application and notification process. Automatic electronic notifications could be sent to creditors. Where creditors are not on the system and required to be notified by post, the group recommends that AiB undertakes that function.</w:t>
      </w:r>
    </w:p>
    <w:p w14:paraId="05CCBB9B" w14:textId="77777777" w:rsidR="00544291" w:rsidRPr="00544291" w:rsidRDefault="00544291" w:rsidP="00544291">
      <w:pPr>
        <w:pStyle w:val="ListParagraph"/>
        <w:rPr>
          <w:rFonts w:cs="Arial"/>
          <w:szCs w:val="24"/>
        </w:rPr>
      </w:pPr>
    </w:p>
    <w:p w14:paraId="67FF1121" w14:textId="707600FA" w:rsidR="00544291" w:rsidRPr="005C02F4" w:rsidRDefault="00EC436A" w:rsidP="000C6DC8">
      <w:pPr>
        <w:pStyle w:val="ListParagraph"/>
        <w:numPr>
          <w:ilvl w:val="0"/>
          <w:numId w:val="58"/>
        </w:numPr>
        <w:rPr>
          <w:rFonts w:cs="Arial"/>
          <w:szCs w:val="24"/>
        </w:rPr>
      </w:pPr>
      <w:r w:rsidRPr="00EC436A">
        <w:rPr>
          <w:rFonts w:eastAsia="Arial" w:cs="Arial"/>
          <w:b/>
          <w:szCs w:val="24"/>
        </w:rPr>
        <w:t>R</w:t>
      </w:r>
      <w:r>
        <w:rPr>
          <w:rFonts w:eastAsia="Arial" w:cs="Arial"/>
          <w:b/>
          <w:szCs w:val="24"/>
        </w:rPr>
        <w:t>ecommendation 3</w:t>
      </w:r>
      <w:r>
        <w:rPr>
          <w:rFonts w:eastAsia="Arial" w:cs="Arial"/>
          <w:szCs w:val="24"/>
        </w:rPr>
        <w:t xml:space="preserve"> - </w:t>
      </w:r>
      <w:r w:rsidR="005F2797" w:rsidRPr="006E7023">
        <w:rPr>
          <w:rFonts w:eastAsia="Arial" w:cs="Arial"/>
          <w:szCs w:val="24"/>
        </w:rPr>
        <w:t xml:space="preserve">The group would also recommend a further review is </w:t>
      </w:r>
      <w:r w:rsidR="007E635D">
        <w:rPr>
          <w:rFonts w:eastAsia="Arial" w:cs="Arial"/>
          <w:szCs w:val="24"/>
        </w:rPr>
        <w:t>undertaken</w:t>
      </w:r>
      <w:r w:rsidR="005F2797" w:rsidRPr="006E7023">
        <w:rPr>
          <w:rFonts w:eastAsia="Arial" w:cs="Arial"/>
          <w:szCs w:val="24"/>
        </w:rPr>
        <w:t xml:space="preserve"> into additional protections such as repossession prevention and creditor contact – as well as the types of debts included in the moratorium. They believe this research and consideration may be best undertaken during stage 3 of the wider review.</w:t>
      </w:r>
    </w:p>
    <w:p w14:paraId="0859A453" w14:textId="69CD1AEC" w:rsidR="00544291" w:rsidRPr="00544291" w:rsidRDefault="00CE4B2F" w:rsidP="00544291">
      <w:pPr>
        <w:pStyle w:val="Heading2"/>
      </w:pPr>
      <w:bookmarkStart w:id="7" w:name="_Toc100244823"/>
      <w:bookmarkStart w:id="8" w:name="_Toc100245002"/>
      <w:r>
        <w:rPr>
          <w:rFonts w:eastAsia="Arial"/>
        </w:rPr>
        <w:t>P</w:t>
      </w:r>
      <w:r w:rsidR="005F2797" w:rsidRPr="004C2962">
        <w:rPr>
          <w:rFonts w:eastAsia="Arial"/>
        </w:rPr>
        <w:t>eriod</w:t>
      </w:r>
      <w:r>
        <w:rPr>
          <w:rFonts w:eastAsia="Arial"/>
        </w:rPr>
        <w:t xml:space="preserve"> of Moratorium</w:t>
      </w:r>
      <w:bookmarkEnd w:id="7"/>
      <w:bookmarkEnd w:id="8"/>
    </w:p>
    <w:p w14:paraId="40992DF3" w14:textId="41B4892D" w:rsidR="005F2797" w:rsidRPr="00544291" w:rsidRDefault="005F2797" w:rsidP="00544291">
      <w:pPr>
        <w:pStyle w:val="Heading3"/>
      </w:pPr>
      <w:r w:rsidRPr="008E2E0E">
        <w:rPr>
          <w:rFonts w:eastAsia="Arial"/>
        </w:rPr>
        <w:t>Background</w:t>
      </w:r>
    </w:p>
    <w:p w14:paraId="2EABCCA4" w14:textId="611FCD50" w:rsidR="005F2797" w:rsidRPr="004C2962" w:rsidRDefault="005C0460" w:rsidP="000C6DC8">
      <w:pPr>
        <w:rPr>
          <w:rFonts w:cs="Arial"/>
          <w:szCs w:val="24"/>
        </w:rPr>
      </w:pPr>
      <w:r>
        <w:rPr>
          <w:rFonts w:eastAsia="Arial" w:cs="Arial"/>
          <w:szCs w:val="24"/>
        </w:rPr>
        <w:t>2.17</w:t>
      </w:r>
      <w:r w:rsidR="007E1DC0">
        <w:rPr>
          <w:rFonts w:eastAsia="Arial" w:cs="Arial"/>
          <w:szCs w:val="24"/>
        </w:rPr>
        <w:tab/>
      </w:r>
      <w:r w:rsidR="005F2797" w:rsidRPr="004C2962">
        <w:rPr>
          <w:rFonts w:eastAsia="Arial" w:cs="Arial"/>
          <w:szCs w:val="24"/>
        </w:rPr>
        <w:t xml:space="preserve">When moratorium against diligence was introduced in Scotland the protection period was six weeks from the date of registration in the Register of Insolvencies. An individual could only apply for one period of protection within an annual timeframe. </w:t>
      </w:r>
    </w:p>
    <w:p w14:paraId="300D1177" w14:textId="7ED33109" w:rsidR="005F2797" w:rsidRPr="004C2962" w:rsidRDefault="005C0460" w:rsidP="000C6DC8">
      <w:pPr>
        <w:rPr>
          <w:rFonts w:cs="Arial"/>
          <w:szCs w:val="24"/>
        </w:rPr>
      </w:pPr>
      <w:r>
        <w:rPr>
          <w:rFonts w:eastAsia="Arial" w:cs="Arial"/>
          <w:szCs w:val="24"/>
        </w:rPr>
        <w:lastRenderedPageBreak/>
        <w:t>2.18</w:t>
      </w:r>
      <w:r w:rsidR="007E1DC0">
        <w:rPr>
          <w:rFonts w:eastAsia="Arial" w:cs="Arial"/>
          <w:szCs w:val="24"/>
        </w:rPr>
        <w:tab/>
      </w:r>
      <w:r w:rsidR="005F2797" w:rsidRPr="004C2962">
        <w:rPr>
          <w:rFonts w:eastAsia="Arial" w:cs="Arial"/>
          <w:szCs w:val="24"/>
        </w:rPr>
        <w:t xml:space="preserve">In March 2020, the Coronavirus (Scotland) Act 2020 </w:t>
      </w:r>
      <w:r w:rsidR="005D3DA7">
        <w:rPr>
          <w:rFonts w:eastAsia="Arial" w:cs="Arial"/>
          <w:szCs w:val="24"/>
        </w:rPr>
        <w:t>(</w:t>
      </w:r>
      <w:r w:rsidR="00F114A4">
        <w:rPr>
          <w:rFonts w:eastAsia="Arial" w:cs="Arial"/>
          <w:szCs w:val="24"/>
        </w:rPr>
        <w:t>“</w:t>
      </w:r>
      <w:r w:rsidR="005D3DA7">
        <w:rPr>
          <w:rFonts w:eastAsia="Arial" w:cs="Arial"/>
          <w:szCs w:val="24"/>
        </w:rPr>
        <w:t xml:space="preserve">the </w:t>
      </w:r>
      <w:r w:rsidR="008E2E0E">
        <w:rPr>
          <w:rFonts w:eastAsia="Arial" w:cs="Arial"/>
          <w:szCs w:val="24"/>
        </w:rPr>
        <w:t xml:space="preserve">first </w:t>
      </w:r>
      <w:r w:rsidR="005D3DA7">
        <w:rPr>
          <w:rFonts w:eastAsia="Arial" w:cs="Arial"/>
          <w:szCs w:val="24"/>
        </w:rPr>
        <w:t>Coronavirus Act</w:t>
      </w:r>
      <w:r w:rsidR="00F114A4">
        <w:rPr>
          <w:rFonts w:eastAsia="Arial" w:cs="Arial"/>
          <w:szCs w:val="24"/>
        </w:rPr>
        <w:t>”</w:t>
      </w:r>
      <w:r w:rsidR="005D3DA7">
        <w:rPr>
          <w:rFonts w:eastAsia="Arial" w:cs="Arial"/>
          <w:szCs w:val="24"/>
        </w:rPr>
        <w:t xml:space="preserve">) </w:t>
      </w:r>
      <w:r w:rsidR="005F2797" w:rsidRPr="004C2962">
        <w:rPr>
          <w:rFonts w:eastAsia="Arial" w:cs="Arial"/>
          <w:szCs w:val="24"/>
        </w:rPr>
        <w:t>temporarily extended the period of moratorium against diligence to six months. This period for moratorium has been extended to March 2022 with the option for further extension to September 2022, subject to Parliamentary approval. As with other temporary Coronavirus provisions, regular reports on their operation are submitted to the Scottish Parliament and the ongoing need is kept under constant review.</w:t>
      </w:r>
    </w:p>
    <w:p w14:paraId="0ED9946D" w14:textId="7BE7BECD" w:rsidR="005F2797" w:rsidRPr="004C2962" w:rsidRDefault="007E1DC0" w:rsidP="000C6DC8">
      <w:pPr>
        <w:rPr>
          <w:rFonts w:cs="Arial"/>
          <w:szCs w:val="24"/>
        </w:rPr>
      </w:pPr>
      <w:r>
        <w:rPr>
          <w:rFonts w:eastAsia="Arial" w:cs="Arial"/>
          <w:szCs w:val="24"/>
        </w:rPr>
        <w:t>2.</w:t>
      </w:r>
      <w:r w:rsidR="005C0460">
        <w:rPr>
          <w:rFonts w:eastAsia="Arial" w:cs="Arial"/>
          <w:szCs w:val="24"/>
        </w:rPr>
        <w:t>19</w:t>
      </w:r>
      <w:r>
        <w:rPr>
          <w:rFonts w:eastAsia="Arial" w:cs="Arial"/>
          <w:szCs w:val="24"/>
        </w:rPr>
        <w:tab/>
      </w:r>
      <w:r w:rsidR="005F2797" w:rsidRPr="004C2962">
        <w:rPr>
          <w:rFonts w:eastAsia="Arial" w:cs="Arial"/>
          <w:szCs w:val="24"/>
        </w:rPr>
        <w:t xml:space="preserve">The group considered whether the original statutory timescale of six weeks for a moratorium period was sufficient or whether an alternative timescale was more appropriate and if so how long that period should be. </w:t>
      </w:r>
    </w:p>
    <w:p w14:paraId="7B6CED8B" w14:textId="205AC118" w:rsidR="005F2797" w:rsidRPr="00544291" w:rsidRDefault="005F2797" w:rsidP="00544291">
      <w:pPr>
        <w:pStyle w:val="Heading3"/>
      </w:pPr>
      <w:r w:rsidRPr="008E2E0E">
        <w:rPr>
          <w:rFonts w:eastAsia="Arial"/>
        </w:rPr>
        <w:t>Discussion</w:t>
      </w:r>
      <w:r w:rsidRPr="004C2962">
        <w:rPr>
          <w:rFonts w:eastAsia="Arial"/>
        </w:rPr>
        <w:t xml:space="preserve"> </w:t>
      </w:r>
    </w:p>
    <w:p w14:paraId="1F0D445F" w14:textId="5481DA9B" w:rsidR="005F2797" w:rsidRPr="004C2962" w:rsidRDefault="005C0460" w:rsidP="000C6DC8">
      <w:pPr>
        <w:rPr>
          <w:rFonts w:eastAsia="Arial" w:cs="Arial"/>
          <w:szCs w:val="24"/>
        </w:rPr>
      </w:pPr>
      <w:r>
        <w:rPr>
          <w:rFonts w:eastAsia="Arial" w:cs="Arial"/>
          <w:szCs w:val="24"/>
        </w:rPr>
        <w:t>2.20</w:t>
      </w:r>
      <w:r w:rsidR="007E1DC0">
        <w:rPr>
          <w:rFonts w:eastAsia="Arial" w:cs="Arial"/>
          <w:szCs w:val="24"/>
        </w:rPr>
        <w:tab/>
      </w:r>
      <w:r w:rsidR="005F2797" w:rsidRPr="004C2962">
        <w:rPr>
          <w:rFonts w:eastAsia="Arial" w:cs="Arial"/>
          <w:szCs w:val="24"/>
        </w:rPr>
        <w:t xml:space="preserve">As part of the group’s discussions on the moratorium time period, they considered both the results from the earlier consultation on </w:t>
      </w:r>
      <w:r w:rsidR="00D37120">
        <w:rPr>
          <w:rFonts w:eastAsia="Arial" w:cs="Arial"/>
          <w:szCs w:val="24"/>
        </w:rPr>
        <w:t>the 2014 Act</w:t>
      </w:r>
      <w:r w:rsidR="005F2797" w:rsidRPr="004C2962">
        <w:rPr>
          <w:rFonts w:eastAsia="Arial" w:cs="Arial"/>
          <w:szCs w:val="24"/>
        </w:rPr>
        <w:t xml:space="preserve"> reforms and the timescale which is currently applied in the standard breathing space in England and Wales – 60 days. The majority of respondents to the </w:t>
      </w:r>
      <w:r w:rsidR="00D37120">
        <w:rPr>
          <w:rFonts w:eastAsia="Arial" w:cs="Arial"/>
          <w:szCs w:val="24"/>
        </w:rPr>
        <w:t>2014 Act</w:t>
      </w:r>
      <w:r w:rsidR="005F2797" w:rsidRPr="004C2962">
        <w:rPr>
          <w:rFonts w:eastAsia="Arial" w:cs="Arial"/>
          <w:szCs w:val="24"/>
        </w:rPr>
        <w:t xml:space="preserve"> consultation did not believe </w:t>
      </w:r>
      <w:r w:rsidR="00AC5676" w:rsidRPr="004C2962">
        <w:rPr>
          <w:rFonts w:eastAsia="Arial" w:cs="Arial"/>
          <w:szCs w:val="24"/>
        </w:rPr>
        <w:t>six</w:t>
      </w:r>
      <w:r w:rsidR="005F2797" w:rsidRPr="004C2962">
        <w:rPr>
          <w:rFonts w:eastAsia="Arial" w:cs="Arial"/>
          <w:szCs w:val="24"/>
        </w:rPr>
        <w:t xml:space="preserve"> weeks was sufficient for the moratorium period. Of the alternatives highlighted, 12 weeks received the strongest support in the consultation. However, when considering the total number of respondents to the question on the appropriate moratorium period 34% suggested 12 weeks with the remaining 66% preferring a period of less than 12 weeks – broken down into</w:t>
      </w:r>
      <w:r w:rsidR="00AC5676" w:rsidRPr="00AC5676">
        <w:rPr>
          <w:rFonts w:eastAsia="Arial" w:cs="Arial"/>
          <w:szCs w:val="24"/>
        </w:rPr>
        <w:t xml:space="preserve"> </w:t>
      </w:r>
      <w:r w:rsidR="00AC5676" w:rsidRPr="004C2962">
        <w:rPr>
          <w:rFonts w:eastAsia="Arial" w:cs="Arial"/>
          <w:szCs w:val="24"/>
        </w:rPr>
        <w:t>six</w:t>
      </w:r>
      <w:r w:rsidR="005F2797" w:rsidRPr="004C2962">
        <w:rPr>
          <w:rFonts w:eastAsia="Arial" w:cs="Arial"/>
          <w:szCs w:val="24"/>
        </w:rPr>
        <w:t xml:space="preserve"> weeks, 60 days, 10 weeks and another amount. The group acknowledged that this particular consultation was in 2019 and circumstances have since changed. They also recognised that the Scottish Government had recently concluded a consultation on the </w:t>
      </w:r>
      <w:r w:rsidR="005D3DA7">
        <w:rPr>
          <w:rFonts w:eastAsia="Arial" w:cs="Arial"/>
          <w:szCs w:val="24"/>
        </w:rPr>
        <w:t>Coronavirus (Recovery and Reform) (Scotland) Bill (</w:t>
      </w:r>
      <w:r w:rsidR="008E2E0E">
        <w:rPr>
          <w:rFonts w:eastAsia="Arial" w:cs="Arial"/>
          <w:szCs w:val="24"/>
        </w:rPr>
        <w:t>“</w:t>
      </w:r>
      <w:r w:rsidR="005D3DA7">
        <w:rPr>
          <w:rFonts w:eastAsia="Arial" w:cs="Arial"/>
          <w:szCs w:val="24"/>
        </w:rPr>
        <w:t xml:space="preserve">the </w:t>
      </w:r>
      <w:r w:rsidR="005F2797" w:rsidRPr="004C2962">
        <w:rPr>
          <w:rFonts w:eastAsia="Arial" w:cs="Arial"/>
          <w:szCs w:val="24"/>
        </w:rPr>
        <w:t>Bill</w:t>
      </w:r>
      <w:r w:rsidR="008E2E0E">
        <w:rPr>
          <w:rFonts w:eastAsia="Arial" w:cs="Arial"/>
          <w:szCs w:val="24"/>
        </w:rPr>
        <w:t>”</w:t>
      </w:r>
      <w:r w:rsidR="005D3DA7">
        <w:rPr>
          <w:rFonts w:eastAsia="Arial" w:cs="Arial"/>
          <w:szCs w:val="24"/>
        </w:rPr>
        <w:t>)</w:t>
      </w:r>
      <w:r w:rsidR="005F2797" w:rsidRPr="004C2962">
        <w:rPr>
          <w:rFonts w:eastAsia="Arial" w:cs="Arial"/>
          <w:szCs w:val="24"/>
        </w:rPr>
        <w:t xml:space="preserve"> which included a question on </w:t>
      </w:r>
      <w:r w:rsidR="005D3DA7">
        <w:rPr>
          <w:rFonts w:eastAsia="Arial" w:cs="Arial"/>
          <w:szCs w:val="24"/>
        </w:rPr>
        <w:t xml:space="preserve">the </w:t>
      </w:r>
      <w:r w:rsidR="005F2797" w:rsidRPr="004C2962">
        <w:rPr>
          <w:rFonts w:eastAsia="Arial" w:cs="Arial"/>
          <w:szCs w:val="24"/>
        </w:rPr>
        <w:t xml:space="preserve">moratorium period – although the question was not as open as the </w:t>
      </w:r>
      <w:r w:rsidR="00D37120">
        <w:rPr>
          <w:rFonts w:eastAsia="Arial" w:cs="Arial"/>
          <w:szCs w:val="24"/>
        </w:rPr>
        <w:t>2014 Act</w:t>
      </w:r>
      <w:r w:rsidR="005F2797" w:rsidRPr="004C2962">
        <w:rPr>
          <w:rFonts w:eastAsia="Arial" w:cs="Arial"/>
          <w:szCs w:val="24"/>
        </w:rPr>
        <w:t xml:space="preserve"> consultation. At the time of the group’s discussion the results from the Bill consultation were not available.   </w:t>
      </w:r>
    </w:p>
    <w:p w14:paraId="5CB20B78" w14:textId="65CBA86F" w:rsidR="005F2797" w:rsidRPr="00544291" w:rsidRDefault="007E1DC0" w:rsidP="000C6DC8">
      <w:pPr>
        <w:rPr>
          <w:rFonts w:eastAsia="Arial" w:cs="Arial"/>
          <w:szCs w:val="24"/>
        </w:rPr>
      </w:pPr>
      <w:r>
        <w:rPr>
          <w:rFonts w:eastAsia="Arial" w:cs="Arial"/>
          <w:szCs w:val="24"/>
        </w:rPr>
        <w:t>2.2</w:t>
      </w:r>
      <w:r w:rsidR="005C0460">
        <w:rPr>
          <w:rFonts w:eastAsia="Arial" w:cs="Arial"/>
          <w:szCs w:val="24"/>
        </w:rPr>
        <w:t>1</w:t>
      </w:r>
      <w:r>
        <w:rPr>
          <w:rFonts w:eastAsia="Arial" w:cs="Arial"/>
          <w:szCs w:val="24"/>
        </w:rPr>
        <w:tab/>
      </w:r>
      <w:r w:rsidR="005F2797" w:rsidRPr="004C2962">
        <w:rPr>
          <w:rFonts w:eastAsia="Arial" w:cs="Arial"/>
          <w:szCs w:val="24"/>
        </w:rPr>
        <w:t xml:space="preserve">The group were made aware that from a creditor’s perspective it may be better to align the time period in Scotland with the standard breathing space in the </w:t>
      </w:r>
      <w:r w:rsidR="005F2797" w:rsidRPr="004C2962">
        <w:rPr>
          <w:rFonts w:eastAsia="Arial" w:cs="Arial"/>
          <w:szCs w:val="24"/>
        </w:rPr>
        <w:lastRenderedPageBreak/>
        <w:t xml:space="preserve">rest of the UK. However, it was also highlighted in the group that 60 days would not always be sufficient for advisers to meet their requirements - such as gathering information needed to offer appropriate advice on benefits and budgeting as well as helping </w:t>
      </w:r>
      <w:r w:rsidR="00CE4B2F">
        <w:rPr>
          <w:rFonts w:eastAsia="Arial" w:cs="Arial"/>
          <w:szCs w:val="24"/>
        </w:rPr>
        <w:t>with benefit/grant applications</w:t>
      </w:r>
      <w:r w:rsidR="005F2797" w:rsidRPr="004C2962">
        <w:rPr>
          <w:rFonts w:eastAsia="Arial" w:cs="Arial"/>
          <w:szCs w:val="24"/>
        </w:rPr>
        <w:t xml:space="preserve">. </w:t>
      </w:r>
    </w:p>
    <w:p w14:paraId="784E52B1" w14:textId="7C74D282" w:rsidR="005F2797" w:rsidRPr="004C2962" w:rsidRDefault="005C0460" w:rsidP="000C6DC8">
      <w:pPr>
        <w:rPr>
          <w:rFonts w:cs="Arial"/>
          <w:szCs w:val="24"/>
        </w:rPr>
      </w:pPr>
      <w:r>
        <w:rPr>
          <w:rFonts w:eastAsia="Arial" w:cs="Arial"/>
          <w:szCs w:val="24"/>
        </w:rPr>
        <w:t>2.22</w:t>
      </w:r>
      <w:r w:rsidR="007E1DC0">
        <w:rPr>
          <w:rFonts w:eastAsia="Arial" w:cs="Arial"/>
          <w:szCs w:val="24"/>
        </w:rPr>
        <w:tab/>
      </w:r>
      <w:r w:rsidR="005F2797" w:rsidRPr="004C2962">
        <w:rPr>
          <w:rFonts w:eastAsia="Arial" w:cs="Arial"/>
          <w:szCs w:val="24"/>
        </w:rPr>
        <w:t xml:space="preserve">During the group’s discussions it was highlighted that although in most cases an adviser can complete the process with a client within 60 days, there are some cases where this is simply not possible. Other factors outwith the client’s or adviser’s control can create delays to the process of providing advice - such as delays in the determination of state benefit applications (including </w:t>
      </w:r>
      <w:r w:rsidR="00CE4B2F">
        <w:rPr>
          <w:rFonts w:eastAsia="Arial" w:cs="Arial"/>
          <w:szCs w:val="24"/>
        </w:rPr>
        <w:t>Personal Independence Payments (“</w:t>
      </w:r>
      <w:r w:rsidR="005F2797" w:rsidRPr="004C2962">
        <w:rPr>
          <w:rFonts w:eastAsia="Arial" w:cs="Arial"/>
          <w:szCs w:val="24"/>
        </w:rPr>
        <w:t>PIP</w:t>
      </w:r>
      <w:r w:rsidR="00CE4B2F">
        <w:rPr>
          <w:rFonts w:eastAsia="Arial" w:cs="Arial"/>
          <w:szCs w:val="24"/>
        </w:rPr>
        <w:t>”</w:t>
      </w:r>
      <w:r w:rsidR="005F2797" w:rsidRPr="004C2962">
        <w:rPr>
          <w:rFonts w:eastAsia="Arial" w:cs="Arial"/>
          <w:szCs w:val="24"/>
        </w:rPr>
        <w:t xml:space="preserve">). It was also highlighted that delays in providing advice can be due to the client’s mental health issues. These issues may not necessarily reach the level of requiring mental health crisis treatment but would still impact on the time taken to find a solution for the individual. Consequently, a 60 day moratorium period alone may not be an appropriate timescale to allow for these circumstances.  </w:t>
      </w:r>
    </w:p>
    <w:p w14:paraId="4A03F23B" w14:textId="5D239153" w:rsidR="005F2797" w:rsidRPr="004C2962" w:rsidRDefault="007E1DC0" w:rsidP="000C6DC8">
      <w:pPr>
        <w:rPr>
          <w:rFonts w:cs="Arial"/>
          <w:szCs w:val="24"/>
        </w:rPr>
      </w:pPr>
      <w:r>
        <w:rPr>
          <w:rFonts w:eastAsia="Arial" w:cs="Arial"/>
          <w:szCs w:val="24"/>
        </w:rPr>
        <w:t>2.2</w:t>
      </w:r>
      <w:r w:rsidR="005C0460">
        <w:rPr>
          <w:rFonts w:eastAsia="Arial" w:cs="Arial"/>
          <w:szCs w:val="24"/>
        </w:rPr>
        <w:t>3</w:t>
      </w:r>
      <w:r>
        <w:rPr>
          <w:rFonts w:eastAsia="Arial" w:cs="Arial"/>
          <w:szCs w:val="24"/>
        </w:rPr>
        <w:tab/>
      </w:r>
      <w:r w:rsidR="005F2797" w:rsidRPr="004C2962">
        <w:rPr>
          <w:rFonts w:eastAsia="Arial" w:cs="Arial"/>
          <w:szCs w:val="24"/>
        </w:rPr>
        <w:t>An alternative approach suggested was to allow an adviser the ability to apply for an extension to the moratorium period. This would only be in specific circumstances. The circumstances considered by the gr</w:t>
      </w:r>
      <w:r w:rsidR="00151C28">
        <w:rPr>
          <w:rFonts w:eastAsia="Arial" w:cs="Arial"/>
          <w:szCs w:val="24"/>
        </w:rPr>
        <w:t>oup were where an issue was out</w:t>
      </w:r>
      <w:r w:rsidR="005F2797" w:rsidRPr="004C2962">
        <w:rPr>
          <w:rFonts w:eastAsia="Arial" w:cs="Arial"/>
          <w:szCs w:val="24"/>
        </w:rPr>
        <w:t xml:space="preserve">with the adviser or their client’s control. The group understood this may require examples listed in legislation to ensure consistency for advisers whilst also providing confidence in the process to creditors. However, they also recognised that this list should not be exhaustive or prescriptive but primarily to provide guidance. The group believed the legislation on this provision should be balanced as an adviser would not want to unnecessarily prolong the moratorium period and prefer the matter be resolved as quickly as possible. </w:t>
      </w:r>
    </w:p>
    <w:p w14:paraId="405A8E95" w14:textId="4347D12D" w:rsidR="005F2797" w:rsidRPr="004C2962" w:rsidRDefault="007E1DC0" w:rsidP="000C6DC8">
      <w:pPr>
        <w:rPr>
          <w:rFonts w:cs="Arial"/>
          <w:szCs w:val="24"/>
        </w:rPr>
      </w:pPr>
      <w:r>
        <w:rPr>
          <w:rFonts w:eastAsia="Arial" w:cs="Arial"/>
          <w:szCs w:val="24"/>
        </w:rPr>
        <w:t>2.2</w:t>
      </w:r>
      <w:r w:rsidR="005C0460">
        <w:rPr>
          <w:rFonts w:eastAsia="Arial" w:cs="Arial"/>
          <w:szCs w:val="24"/>
        </w:rPr>
        <w:t>4</w:t>
      </w:r>
      <w:r>
        <w:rPr>
          <w:rFonts w:eastAsia="Arial" w:cs="Arial"/>
          <w:szCs w:val="24"/>
        </w:rPr>
        <w:tab/>
      </w:r>
      <w:r w:rsidR="005F2797" w:rsidRPr="004C2962">
        <w:rPr>
          <w:rFonts w:eastAsia="Arial" w:cs="Arial"/>
          <w:szCs w:val="24"/>
        </w:rPr>
        <w:t xml:space="preserve">While it was believed that the majority of moratoria would not require an extension, it was stated that it would be greatly beneficial to have such an option available in those limited necessary cases. Aware of creditor concerns, the group considered whether the set period for a moratorium should be 60 days to align with the rest of the UK. They considered the length of the extension should be no longer than 90 days in cases with that set of narrow criteria.  </w:t>
      </w:r>
    </w:p>
    <w:p w14:paraId="7A4E8FFB" w14:textId="744BCD27" w:rsidR="00A04479" w:rsidRDefault="007E1DC0" w:rsidP="000C6DC8">
      <w:pPr>
        <w:rPr>
          <w:rFonts w:eastAsia="Arial" w:cs="Arial"/>
          <w:szCs w:val="24"/>
        </w:rPr>
      </w:pPr>
      <w:r>
        <w:rPr>
          <w:rFonts w:eastAsia="Arial" w:cs="Arial"/>
          <w:szCs w:val="24"/>
        </w:rPr>
        <w:lastRenderedPageBreak/>
        <w:t>2.2</w:t>
      </w:r>
      <w:r w:rsidR="005C0460">
        <w:rPr>
          <w:rFonts w:eastAsia="Arial" w:cs="Arial"/>
          <w:szCs w:val="24"/>
        </w:rPr>
        <w:t>5</w:t>
      </w:r>
      <w:r>
        <w:rPr>
          <w:rFonts w:eastAsia="Arial" w:cs="Arial"/>
          <w:szCs w:val="24"/>
        </w:rPr>
        <w:tab/>
      </w:r>
      <w:r w:rsidR="005F2797" w:rsidRPr="004C2962">
        <w:rPr>
          <w:rFonts w:eastAsia="Arial" w:cs="Arial"/>
          <w:szCs w:val="24"/>
        </w:rPr>
        <w:t xml:space="preserve">When considering the possible additional provisions such as freezing interest and charges – a potential 90 day moratorium became more problematic from a creditor perspective. The extended period coupled with additional restrictions potentially imposed on creditors – such as preventing repossession - raised questions of the proportionality of the proposed moratorium. </w:t>
      </w:r>
    </w:p>
    <w:p w14:paraId="04268C4E" w14:textId="046C5D8E" w:rsidR="005F2797" w:rsidRPr="00544291" w:rsidRDefault="00A04479" w:rsidP="000C6DC8">
      <w:pPr>
        <w:rPr>
          <w:rFonts w:eastAsia="Arial" w:cs="Arial"/>
          <w:szCs w:val="24"/>
        </w:rPr>
      </w:pPr>
      <w:r>
        <w:rPr>
          <w:rFonts w:eastAsia="Arial" w:cs="Arial"/>
          <w:szCs w:val="24"/>
        </w:rPr>
        <w:t>2.2</w:t>
      </w:r>
      <w:r w:rsidR="005C0460">
        <w:rPr>
          <w:rFonts w:eastAsia="Arial" w:cs="Arial"/>
          <w:szCs w:val="24"/>
        </w:rPr>
        <w:t>6</w:t>
      </w:r>
      <w:r>
        <w:rPr>
          <w:rFonts w:eastAsia="Arial" w:cs="Arial"/>
          <w:szCs w:val="24"/>
        </w:rPr>
        <w:tab/>
      </w:r>
      <w:r w:rsidRPr="006E7023">
        <w:rPr>
          <w:rFonts w:eastAsia="Arial" w:cs="Arial"/>
          <w:szCs w:val="24"/>
        </w:rPr>
        <w:t>The group believe that neither the</w:t>
      </w:r>
      <w:r w:rsidR="0090516F" w:rsidRPr="0090516F">
        <w:rPr>
          <w:rFonts w:eastAsia="Arial" w:cs="Arial"/>
          <w:szCs w:val="24"/>
        </w:rPr>
        <w:t xml:space="preserve"> </w:t>
      </w:r>
      <w:r w:rsidR="0090516F" w:rsidRPr="004C2962">
        <w:rPr>
          <w:rFonts w:eastAsia="Arial" w:cs="Arial"/>
          <w:szCs w:val="24"/>
        </w:rPr>
        <w:t>six</w:t>
      </w:r>
      <w:r w:rsidRPr="006E7023">
        <w:rPr>
          <w:rFonts w:eastAsia="Arial" w:cs="Arial"/>
          <w:szCs w:val="24"/>
        </w:rPr>
        <w:t xml:space="preserve"> week period - introduced by the 2014 Act in 2015 - nor the </w:t>
      </w:r>
      <w:r w:rsidR="0090516F" w:rsidRPr="004C2962">
        <w:rPr>
          <w:rFonts w:eastAsia="Arial" w:cs="Arial"/>
          <w:szCs w:val="24"/>
        </w:rPr>
        <w:t>six</w:t>
      </w:r>
      <w:r w:rsidRPr="006E7023">
        <w:rPr>
          <w:rFonts w:eastAsia="Arial" w:cs="Arial"/>
          <w:szCs w:val="24"/>
        </w:rPr>
        <w:t xml:space="preserve"> month period – introduced by the </w:t>
      </w:r>
      <w:r>
        <w:rPr>
          <w:rFonts w:eastAsia="Arial" w:cs="Arial"/>
          <w:szCs w:val="24"/>
        </w:rPr>
        <w:t>f</w:t>
      </w:r>
      <w:r w:rsidRPr="006E7023">
        <w:rPr>
          <w:rFonts w:eastAsia="Arial" w:cs="Arial"/>
          <w:szCs w:val="24"/>
        </w:rPr>
        <w:t>irst Coronavirus Act – are appropriate periods for a moratorium in Scotland</w:t>
      </w:r>
      <w:r>
        <w:rPr>
          <w:rFonts w:eastAsia="Arial" w:cs="Arial"/>
          <w:szCs w:val="24"/>
        </w:rPr>
        <w:t>, on a permanent basis</w:t>
      </w:r>
      <w:r w:rsidRPr="006E7023">
        <w:rPr>
          <w:rFonts w:eastAsia="Arial" w:cs="Arial"/>
          <w:szCs w:val="24"/>
        </w:rPr>
        <w:t xml:space="preserve">. However, the group could not </w:t>
      </w:r>
      <w:r w:rsidR="008F72EC">
        <w:rPr>
          <w:rFonts w:eastAsia="Arial" w:cs="Arial"/>
          <w:szCs w:val="24"/>
        </w:rPr>
        <w:t>agree</w:t>
      </w:r>
      <w:r w:rsidRPr="006E7023">
        <w:rPr>
          <w:rFonts w:eastAsia="Arial" w:cs="Arial"/>
          <w:szCs w:val="24"/>
        </w:rPr>
        <w:t xml:space="preserve"> on an alternative moratorium period. </w:t>
      </w:r>
      <w:r w:rsidR="005F2797" w:rsidRPr="004C2962">
        <w:rPr>
          <w:rFonts w:eastAsia="Arial" w:cs="Arial"/>
          <w:szCs w:val="24"/>
        </w:rPr>
        <w:t xml:space="preserve">  </w:t>
      </w:r>
    </w:p>
    <w:p w14:paraId="4F7092EB" w14:textId="5876D5D8" w:rsidR="005F2797" w:rsidRPr="00544291" w:rsidRDefault="005F2797" w:rsidP="00544291">
      <w:pPr>
        <w:pStyle w:val="Heading3"/>
      </w:pPr>
      <w:r w:rsidRPr="008E2E0E">
        <w:rPr>
          <w:rFonts w:eastAsia="Arial"/>
        </w:rPr>
        <w:t>Recommendation</w:t>
      </w:r>
      <w:r w:rsidRPr="004C2962">
        <w:rPr>
          <w:rFonts w:eastAsia="Arial"/>
        </w:rPr>
        <w:t xml:space="preserve"> </w:t>
      </w:r>
    </w:p>
    <w:p w14:paraId="26F57323" w14:textId="77E67173" w:rsidR="00A04479" w:rsidRPr="00A04479" w:rsidRDefault="00A04479" w:rsidP="000C6DC8">
      <w:pPr>
        <w:pStyle w:val="ListParagraph"/>
        <w:numPr>
          <w:ilvl w:val="0"/>
          <w:numId w:val="59"/>
        </w:numPr>
        <w:rPr>
          <w:rFonts w:cs="Arial"/>
          <w:szCs w:val="24"/>
        </w:rPr>
      </w:pPr>
      <w:r w:rsidRPr="00A04479">
        <w:rPr>
          <w:rFonts w:eastAsia="Arial" w:cs="Arial"/>
          <w:b/>
          <w:szCs w:val="24"/>
        </w:rPr>
        <w:t>R</w:t>
      </w:r>
      <w:r>
        <w:rPr>
          <w:rFonts w:eastAsia="Arial" w:cs="Arial"/>
          <w:b/>
          <w:szCs w:val="24"/>
        </w:rPr>
        <w:t>ecommendation 4</w:t>
      </w:r>
      <w:r>
        <w:rPr>
          <w:rFonts w:eastAsia="Arial" w:cs="Arial"/>
          <w:szCs w:val="24"/>
        </w:rPr>
        <w:t xml:space="preserve"> - </w:t>
      </w:r>
      <w:r w:rsidR="005F2797" w:rsidRPr="006E7023">
        <w:rPr>
          <w:rFonts w:eastAsia="Arial" w:cs="Arial"/>
          <w:szCs w:val="24"/>
        </w:rPr>
        <w:t xml:space="preserve">The majority of members of the group preferred adopting an approach which would allow an adviser to apply for an extension to the moratorium under certain circumstances which were outwith the individual and the adviser’s control. They did not believe it would be necessary or beneficial for the criteria to be prescriptive. It would be for the adviser to explain the reasons for requiring an extension and for AiB to agree or reject that extension. In that scenario they believe the most appropriate timescales would be a standard period of 60 days, to align with the rest of the UK, with the allowance of a 30 day extension. </w:t>
      </w:r>
    </w:p>
    <w:p w14:paraId="7983CE34" w14:textId="77777777" w:rsidR="00A04479" w:rsidRPr="00A04479" w:rsidRDefault="00A04479" w:rsidP="000C6DC8">
      <w:pPr>
        <w:pStyle w:val="ListParagraph"/>
        <w:rPr>
          <w:rFonts w:cs="Arial"/>
          <w:szCs w:val="24"/>
        </w:rPr>
      </w:pPr>
    </w:p>
    <w:p w14:paraId="0AD58EE9" w14:textId="4098F0A5" w:rsidR="005F2797" w:rsidRPr="00544291" w:rsidRDefault="00A04479" w:rsidP="000C6DC8">
      <w:pPr>
        <w:pStyle w:val="ListParagraph"/>
        <w:numPr>
          <w:ilvl w:val="0"/>
          <w:numId w:val="59"/>
        </w:numPr>
        <w:rPr>
          <w:rFonts w:cs="Arial"/>
          <w:szCs w:val="24"/>
        </w:rPr>
      </w:pPr>
      <w:r w:rsidRPr="00A04479">
        <w:rPr>
          <w:rFonts w:eastAsia="Arial" w:cs="Arial"/>
          <w:b/>
          <w:szCs w:val="24"/>
        </w:rPr>
        <w:t>Recom</w:t>
      </w:r>
      <w:r>
        <w:rPr>
          <w:rFonts w:eastAsia="Arial" w:cs="Arial"/>
          <w:b/>
          <w:szCs w:val="24"/>
        </w:rPr>
        <w:t>mendation 5</w:t>
      </w:r>
      <w:r>
        <w:rPr>
          <w:rFonts w:eastAsia="Arial" w:cs="Arial"/>
          <w:szCs w:val="24"/>
        </w:rPr>
        <w:t xml:space="preserve"> - </w:t>
      </w:r>
      <w:r w:rsidR="005F2797" w:rsidRPr="006E7023">
        <w:rPr>
          <w:rFonts w:eastAsia="Arial" w:cs="Arial"/>
          <w:szCs w:val="24"/>
        </w:rPr>
        <w:t>Other members were resistant to that approach due to the potential for a moratorium lasting 90 days, albeit in limited circumstances</w:t>
      </w:r>
      <w:r w:rsidR="008E2E0E">
        <w:rPr>
          <w:rFonts w:eastAsia="Arial" w:cs="Arial"/>
          <w:szCs w:val="24"/>
        </w:rPr>
        <w:t>,</w:t>
      </w:r>
      <w:r w:rsidR="005F2797" w:rsidRPr="006E7023">
        <w:rPr>
          <w:rFonts w:eastAsia="Arial" w:cs="Arial"/>
          <w:szCs w:val="24"/>
        </w:rPr>
        <w:t xml:space="preserve"> and they are not convinced it is necessary for such a period. They specifically had concerns about any possible unintended consequences resulting from a moratorium lasting 90 days with additional protections such as freezing interest/charges and preventing repossessions. Therefore, they believe the moratorium period should be fixed at 60 days which is in line with the </w:t>
      </w:r>
      <w:r w:rsidR="00CE4B2F">
        <w:rPr>
          <w:rFonts w:eastAsia="Arial" w:cs="Arial"/>
          <w:szCs w:val="24"/>
        </w:rPr>
        <w:t>Financial Conduct Authority</w:t>
      </w:r>
      <w:r w:rsidR="005F2797" w:rsidRPr="006E7023">
        <w:rPr>
          <w:rFonts w:eastAsia="Arial" w:cs="Arial"/>
          <w:szCs w:val="24"/>
        </w:rPr>
        <w:t xml:space="preserve"> regulations and would, therefore, ensure consistency across the UK.  </w:t>
      </w:r>
      <w:r w:rsidR="005F2797" w:rsidRPr="00544291">
        <w:rPr>
          <w:rFonts w:eastAsia="Arial" w:cs="Arial"/>
          <w:szCs w:val="24"/>
        </w:rPr>
        <w:t xml:space="preserve"> </w:t>
      </w:r>
    </w:p>
    <w:p w14:paraId="281B348B" w14:textId="08229C25" w:rsidR="005F2797" w:rsidRPr="00544291" w:rsidRDefault="00AF5259" w:rsidP="00544291">
      <w:pPr>
        <w:pStyle w:val="Heading2"/>
      </w:pPr>
      <w:bookmarkStart w:id="9" w:name="_Toc100244824"/>
      <w:bookmarkStart w:id="10" w:name="_Toc100245003"/>
      <w:r>
        <w:rPr>
          <w:rFonts w:eastAsia="Arial"/>
        </w:rPr>
        <w:lastRenderedPageBreak/>
        <w:t>Mental Health Crisis P</w:t>
      </w:r>
      <w:r w:rsidR="005F2797" w:rsidRPr="004C2962">
        <w:rPr>
          <w:rFonts w:eastAsia="Arial"/>
        </w:rPr>
        <w:t>rovision</w:t>
      </w:r>
      <w:bookmarkEnd w:id="9"/>
      <w:bookmarkEnd w:id="10"/>
      <w:r w:rsidR="005F2797" w:rsidRPr="004C2962">
        <w:rPr>
          <w:rFonts w:eastAsia="Arial" w:cs="Arial"/>
          <w:szCs w:val="24"/>
        </w:rPr>
        <w:t xml:space="preserve"> </w:t>
      </w:r>
    </w:p>
    <w:p w14:paraId="50A5700F" w14:textId="0F28C467" w:rsidR="005F2797" w:rsidRPr="00544291" w:rsidRDefault="005F2797" w:rsidP="00544291">
      <w:pPr>
        <w:pStyle w:val="Heading3"/>
      </w:pPr>
      <w:r w:rsidRPr="008E2E0E">
        <w:rPr>
          <w:rFonts w:eastAsia="Arial"/>
        </w:rPr>
        <w:t>Background</w:t>
      </w:r>
    </w:p>
    <w:p w14:paraId="31C53A3B" w14:textId="09628D6D" w:rsidR="005F2797" w:rsidRPr="004C2962" w:rsidRDefault="005C0460" w:rsidP="000C6DC8">
      <w:pPr>
        <w:rPr>
          <w:rFonts w:cs="Arial"/>
          <w:szCs w:val="24"/>
        </w:rPr>
      </w:pPr>
      <w:r>
        <w:rPr>
          <w:rFonts w:eastAsia="Arial" w:cs="Arial"/>
          <w:szCs w:val="24"/>
        </w:rPr>
        <w:t>2.27</w:t>
      </w:r>
      <w:r w:rsidR="007E1DC0">
        <w:rPr>
          <w:rFonts w:eastAsia="Arial" w:cs="Arial"/>
          <w:szCs w:val="24"/>
        </w:rPr>
        <w:tab/>
      </w:r>
      <w:r w:rsidR="008E3B7E">
        <w:rPr>
          <w:rFonts w:eastAsia="Arial" w:cs="Arial"/>
          <w:szCs w:val="24"/>
        </w:rPr>
        <w:t>In England and Wales, the Debt Respite Scheme</w:t>
      </w:r>
      <w:r w:rsidR="005F2797" w:rsidRPr="004C2962">
        <w:rPr>
          <w:rFonts w:eastAsia="Arial" w:cs="Arial"/>
          <w:szCs w:val="24"/>
        </w:rPr>
        <w:t xml:space="preserve"> introduced </w:t>
      </w:r>
      <w:r w:rsidR="008E3B7E">
        <w:rPr>
          <w:rFonts w:eastAsia="Arial" w:cs="Arial"/>
          <w:szCs w:val="24"/>
        </w:rPr>
        <w:t>the</w:t>
      </w:r>
      <w:r w:rsidR="005F2797" w:rsidRPr="004C2962">
        <w:rPr>
          <w:rFonts w:eastAsia="Arial" w:cs="Arial"/>
          <w:szCs w:val="24"/>
        </w:rPr>
        <w:t xml:space="preserve"> mental health crisis </w:t>
      </w:r>
      <w:r w:rsidR="008E3B7E">
        <w:rPr>
          <w:rFonts w:eastAsia="Arial" w:cs="Arial"/>
          <w:szCs w:val="24"/>
        </w:rPr>
        <w:t>breathing space</w:t>
      </w:r>
      <w:r w:rsidR="005F2797" w:rsidRPr="004C2962">
        <w:rPr>
          <w:rFonts w:eastAsia="Arial" w:cs="Arial"/>
          <w:szCs w:val="24"/>
        </w:rPr>
        <w:t xml:space="preserve"> for someone who is receiving mental health crisis treatment. The period of protection lasts for the length of the person's mental health crisis treatment, plus 30 days (regardless of the crisis treatment timescale). </w:t>
      </w:r>
    </w:p>
    <w:p w14:paraId="1D22462D" w14:textId="715F24D2" w:rsidR="005F2797" w:rsidRPr="004C2962" w:rsidRDefault="00A04479" w:rsidP="000C6DC8">
      <w:pPr>
        <w:rPr>
          <w:rFonts w:cs="Arial"/>
          <w:szCs w:val="24"/>
        </w:rPr>
      </w:pPr>
      <w:r>
        <w:rPr>
          <w:rFonts w:eastAsia="Arial" w:cs="Arial"/>
          <w:szCs w:val="24"/>
        </w:rPr>
        <w:t>2.2</w:t>
      </w:r>
      <w:r w:rsidR="005C0460">
        <w:rPr>
          <w:rFonts w:eastAsia="Arial" w:cs="Arial"/>
          <w:szCs w:val="24"/>
        </w:rPr>
        <w:t>8</w:t>
      </w:r>
      <w:r w:rsidR="007E1DC0">
        <w:rPr>
          <w:rFonts w:eastAsia="Arial" w:cs="Arial"/>
          <w:szCs w:val="24"/>
        </w:rPr>
        <w:tab/>
      </w:r>
      <w:r w:rsidR="005F2797" w:rsidRPr="004C2962">
        <w:rPr>
          <w:rFonts w:eastAsia="Arial" w:cs="Arial"/>
          <w:szCs w:val="24"/>
        </w:rPr>
        <w:t xml:space="preserve">Where an </w:t>
      </w:r>
      <w:r w:rsidR="0090516F" w:rsidRPr="004C2962">
        <w:rPr>
          <w:rFonts w:eastAsia="Arial" w:cs="Arial"/>
          <w:szCs w:val="24"/>
        </w:rPr>
        <w:t>approved</w:t>
      </w:r>
      <w:r w:rsidR="005F2797" w:rsidRPr="004C2962">
        <w:rPr>
          <w:rFonts w:eastAsia="Arial" w:cs="Arial"/>
          <w:szCs w:val="24"/>
        </w:rPr>
        <w:t xml:space="preserve"> Mental Health Professional certifies that a person is receiving mental health crisis treatment, the</w:t>
      </w:r>
      <w:r w:rsidR="00CE4B2F" w:rsidRPr="00CE4B2F">
        <w:rPr>
          <w:rFonts w:eastAsia="Arial" w:cs="Arial"/>
          <w:szCs w:val="24"/>
        </w:rPr>
        <w:t xml:space="preserve"> </w:t>
      </w:r>
      <w:r w:rsidR="0090516F" w:rsidRPr="004C2962">
        <w:rPr>
          <w:rFonts w:eastAsia="Arial" w:cs="Arial"/>
          <w:szCs w:val="24"/>
        </w:rPr>
        <w:t>a</w:t>
      </w:r>
      <w:r w:rsidR="00CE4B2F" w:rsidRPr="004C2962">
        <w:rPr>
          <w:rFonts w:eastAsia="Arial" w:cs="Arial"/>
          <w:szCs w:val="24"/>
        </w:rPr>
        <w:t>pproved Mental Health Professional</w:t>
      </w:r>
      <w:r w:rsidR="00CE4B2F">
        <w:rPr>
          <w:rFonts w:eastAsia="Arial" w:cs="Arial"/>
          <w:szCs w:val="24"/>
        </w:rPr>
        <w:t xml:space="preserve">’s </w:t>
      </w:r>
      <w:r w:rsidR="00CE4B2F" w:rsidRPr="004C2962">
        <w:rPr>
          <w:rFonts w:eastAsia="Arial" w:cs="Arial"/>
          <w:szCs w:val="24"/>
        </w:rPr>
        <w:t>evidence</w:t>
      </w:r>
      <w:r w:rsidR="005F2797" w:rsidRPr="004C2962">
        <w:rPr>
          <w:rFonts w:eastAsia="Arial" w:cs="Arial"/>
          <w:szCs w:val="24"/>
        </w:rPr>
        <w:t xml:space="preserve"> can be used by a debt adviser to </w:t>
      </w:r>
      <w:r w:rsidR="008E3B7E">
        <w:rPr>
          <w:rFonts w:eastAsia="Arial" w:cs="Arial"/>
          <w:szCs w:val="24"/>
        </w:rPr>
        <w:t>commence</w:t>
      </w:r>
      <w:r w:rsidR="005F2797" w:rsidRPr="004C2962">
        <w:rPr>
          <w:rFonts w:eastAsia="Arial" w:cs="Arial"/>
          <w:szCs w:val="24"/>
        </w:rPr>
        <w:t xml:space="preserve"> a mental health crisis breathing space.</w:t>
      </w:r>
    </w:p>
    <w:p w14:paraId="3F3CC96C" w14:textId="1E27B4B0" w:rsidR="005F2797" w:rsidRPr="004C2962" w:rsidRDefault="005C0460" w:rsidP="000C6DC8">
      <w:pPr>
        <w:rPr>
          <w:rFonts w:cs="Arial"/>
          <w:szCs w:val="24"/>
        </w:rPr>
      </w:pPr>
      <w:r>
        <w:rPr>
          <w:rFonts w:eastAsia="Arial" w:cs="Arial"/>
          <w:szCs w:val="24"/>
        </w:rPr>
        <w:t>2.29</w:t>
      </w:r>
      <w:r w:rsidR="007E1DC0">
        <w:rPr>
          <w:rFonts w:eastAsia="Arial" w:cs="Arial"/>
          <w:szCs w:val="24"/>
        </w:rPr>
        <w:tab/>
      </w:r>
      <w:r w:rsidR="005F2797" w:rsidRPr="004C2962">
        <w:rPr>
          <w:rFonts w:eastAsia="Arial" w:cs="Arial"/>
          <w:szCs w:val="24"/>
        </w:rPr>
        <w:t>In addition to the debtor, the following people can apply to a debt adviser on behalf of a debtor for a mental health crisis breathing space:</w:t>
      </w:r>
    </w:p>
    <w:p w14:paraId="1A08151F" w14:textId="77777777" w:rsidR="005F2797" w:rsidRPr="004C2962" w:rsidRDefault="005F2797" w:rsidP="000C6DC8">
      <w:pPr>
        <w:pStyle w:val="ListParagraph"/>
        <w:numPr>
          <w:ilvl w:val="0"/>
          <w:numId w:val="32"/>
        </w:numPr>
        <w:rPr>
          <w:rFonts w:eastAsiaTheme="minorEastAsia" w:cs="Arial"/>
          <w:szCs w:val="24"/>
        </w:rPr>
      </w:pPr>
      <w:r w:rsidRPr="004C2962">
        <w:rPr>
          <w:rFonts w:eastAsia="Arial" w:cs="Arial"/>
          <w:szCs w:val="24"/>
        </w:rPr>
        <w:t>the debtor’s carer</w:t>
      </w:r>
    </w:p>
    <w:p w14:paraId="3C2BF8C7" w14:textId="69506B9E" w:rsidR="00CE4B2F" w:rsidRPr="00CE4B2F" w:rsidRDefault="0090516F" w:rsidP="000C6DC8">
      <w:pPr>
        <w:pStyle w:val="ListParagraph"/>
        <w:numPr>
          <w:ilvl w:val="0"/>
          <w:numId w:val="32"/>
        </w:numPr>
        <w:rPr>
          <w:rFonts w:eastAsiaTheme="minorEastAsia" w:cs="Arial"/>
          <w:szCs w:val="24"/>
        </w:rPr>
      </w:pPr>
      <w:r w:rsidRPr="004C2962">
        <w:rPr>
          <w:rFonts w:eastAsia="Arial" w:cs="Arial"/>
          <w:szCs w:val="24"/>
        </w:rPr>
        <w:t>approved</w:t>
      </w:r>
      <w:r w:rsidR="00CE4B2F" w:rsidRPr="004C2962">
        <w:rPr>
          <w:rFonts w:eastAsia="Arial" w:cs="Arial"/>
          <w:szCs w:val="24"/>
        </w:rPr>
        <w:t xml:space="preserve"> Mental Health Professional</w:t>
      </w:r>
    </w:p>
    <w:p w14:paraId="15938284" w14:textId="781E4437" w:rsidR="005F2797" w:rsidRPr="004C2962" w:rsidRDefault="005F2797" w:rsidP="000C6DC8">
      <w:pPr>
        <w:pStyle w:val="ListParagraph"/>
        <w:numPr>
          <w:ilvl w:val="0"/>
          <w:numId w:val="32"/>
        </w:numPr>
        <w:rPr>
          <w:rFonts w:eastAsiaTheme="minorEastAsia" w:cs="Arial"/>
          <w:szCs w:val="24"/>
        </w:rPr>
      </w:pPr>
      <w:r w:rsidRPr="004C2962">
        <w:rPr>
          <w:rFonts w:eastAsia="Arial" w:cs="Arial"/>
          <w:szCs w:val="24"/>
        </w:rPr>
        <w:t>care co-ordinators appointed for the debtor</w:t>
      </w:r>
    </w:p>
    <w:p w14:paraId="5702CD08" w14:textId="77777777" w:rsidR="005F2797" w:rsidRPr="004C2962" w:rsidRDefault="005F2797" w:rsidP="000C6DC8">
      <w:pPr>
        <w:pStyle w:val="ListParagraph"/>
        <w:numPr>
          <w:ilvl w:val="0"/>
          <w:numId w:val="32"/>
        </w:numPr>
        <w:rPr>
          <w:rFonts w:eastAsiaTheme="minorEastAsia" w:cs="Arial"/>
          <w:szCs w:val="24"/>
        </w:rPr>
      </w:pPr>
      <w:r w:rsidRPr="004C2962">
        <w:rPr>
          <w:rFonts w:eastAsia="Arial" w:cs="Arial"/>
          <w:szCs w:val="24"/>
        </w:rPr>
        <w:t>mental health nurses</w:t>
      </w:r>
    </w:p>
    <w:p w14:paraId="218085E6" w14:textId="77777777" w:rsidR="005F2797" w:rsidRPr="004C2962" w:rsidRDefault="005F2797" w:rsidP="000C6DC8">
      <w:pPr>
        <w:pStyle w:val="ListParagraph"/>
        <w:numPr>
          <w:ilvl w:val="0"/>
          <w:numId w:val="32"/>
        </w:numPr>
        <w:rPr>
          <w:rFonts w:eastAsiaTheme="minorEastAsia" w:cs="Arial"/>
          <w:szCs w:val="24"/>
        </w:rPr>
      </w:pPr>
      <w:r w:rsidRPr="004C2962">
        <w:rPr>
          <w:rFonts w:eastAsia="Arial" w:cs="Arial"/>
          <w:szCs w:val="24"/>
        </w:rPr>
        <w:t>social workers</w:t>
      </w:r>
    </w:p>
    <w:p w14:paraId="5A9D81CC" w14:textId="77777777" w:rsidR="005F2797" w:rsidRPr="004C2962" w:rsidRDefault="005F2797" w:rsidP="000C6DC8">
      <w:pPr>
        <w:pStyle w:val="ListParagraph"/>
        <w:numPr>
          <w:ilvl w:val="0"/>
          <w:numId w:val="32"/>
        </w:numPr>
        <w:rPr>
          <w:rFonts w:eastAsiaTheme="minorEastAsia" w:cs="Arial"/>
          <w:szCs w:val="24"/>
        </w:rPr>
      </w:pPr>
      <w:r w:rsidRPr="004C2962">
        <w:rPr>
          <w:rFonts w:eastAsia="Arial" w:cs="Arial"/>
          <w:szCs w:val="24"/>
        </w:rPr>
        <w:t>independent mental health advocates or mental capacity advocates appointed for the debtor</w:t>
      </w:r>
    </w:p>
    <w:p w14:paraId="1D32B0BD" w14:textId="36057851" w:rsidR="005F2797" w:rsidRPr="00544291" w:rsidRDefault="005F2797" w:rsidP="000C6DC8">
      <w:pPr>
        <w:pStyle w:val="ListParagraph"/>
        <w:numPr>
          <w:ilvl w:val="0"/>
          <w:numId w:val="32"/>
        </w:numPr>
        <w:rPr>
          <w:rFonts w:eastAsiaTheme="minorEastAsia" w:cs="Arial"/>
          <w:szCs w:val="24"/>
        </w:rPr>
      </w:pPr>
      <w:r w:rsidRPr="004C2962">
        <w:rPr>
          <w:rFonts w:eastAsia="Arial" w:cs="Arial"/>
          <w:szCs w:val="24"/>
        </w:rPr>
        <w:t>a debtor’s representative</w:t>
      </w:r>
      <w:r w:rsidRPr="00544291">
        <w:rPr>
          <w:rFonts w:eastAsia="Arial" w:cs="Arial"/>
          <w:szCs w:val="24"/>
        </w:rPr>
        <w:t xml:space="preserve"> </w:t>
      </w:r>
    </w:p>
    <w:p w14:paraId="3B2E90A4" w14:textId="40610468" w:rsidR="005F2797" w:rsidRPr="004C2962" w:rsidRDefault="005C0460" w:rsidP="000C6DC8">
      <w:pPr>
        <w:rPr>
          <w:rFonts w:cs="Arial"/>
          <w:szCs w:val="24"/>
        </w:rPr>
      </w:pPr>
      <w:r>
        <w:rPr>
          <w:rFonts w:eastAsia="Arial" w:cs="Arial"/>
          <w:szCs w:val="24"/>
        </w:rPr>
        <w:t>2.30</w:t>
      </w:r>
      <w:r w:rsidR="007E1DC0">
        <w:rPr>
          <w:rFonts w:eastAsia="Arial" w:cs="Arial"/>
          <w:szCs w:val="24"/>
        </w:rPr>
        <w:tab/>
      </w:r>
      <w:r w:rsidR="005F2797" w:rsidRPr="004C2962">
        <w:rPr>
          <w:rFonts w:eastAsia="Arial" w:cs="Arial"/>
          <w:szCs w:val="24"/>
        </w:rPr>
        <w:t xml:space="preserve">The group considered whether this </w:t>
      </w:r>
      <w:r w:rsidR="008E3B7E">
        <w:rPr>
          <w:rFonts w:eastAsia="Arial" w:cs="Arial"/>
          <w:szCs w:val="24"/>
        </w:rPr>
        <w:t xml:space="preserve">type of </w:t>
      </w:r>
      <w:r w:rsidR="005F2797" w:rsidRPr="004C2962">
        <w:rPr>
          <w:rFonts w:eastAsia="Arial" w:cs="Arial"/>
          <w:szCs w:val="24"/>
        </w:rPr>
        <w:t xml:space="preserve">mental health crisis moratorium, or a similar approach, should be adopted in Scotland. </w:t>
      </w:r>
    </w:p>
    <w:p w14:paraId="4F6070EB" w14:textId="03E72D5A" w:rsidR="005F2797" w:rsidRPr="00544291" w:rsidRDefault="005F2797" w:rsidP="00544291">
      <w:pPr>
        <w:pStyle w:val="Heading3"/>
      </w:pPr>
      <w:r w:rsidRPr="008E2E0E">
        <w:rPr>
          <w:rFonts w:eastAsia="Arial"/>
        </w:rPr>
        <w:t>Discussion</w:t>
      </w:r>
      <w:r w:rsidRPr="004C2962">
        <w:rPr>
          <w:rFonts w:eastAsia="Arial"/>
        </w:rPr>
        <w:t xml:space="preserve"> </w:t>
      </w:r>
    </w:p>
    <w:p w14:paraId="3675A3E4" w14:textId="2CB5A57D" w:rsidR="005F2797" w:rsidRPr="004C2962" w:rsidRDefault="005C0460" w:rsidP="000C6DC8">
      <w:pPr>
        <w:rPr>
          <w:rFonts w:cs="Arial"/>
          <w:szCs w:val="24"/>
        </w:rPr>
      </w:pPr>
      <w:r>
        <w:rPr>
          <w:rFonts w:eastAsia="Arial" w:cs="Arial"/>
          <w:szCs w:val="24"/>
        </w:rPr>
        <w:t>2.31</w:t>
      </w:r>
      <w:r w:rsidR="007E1DC0">
        <w:rPr>
          <w:rFonts w:eastAsia="Arial" w:cs="Arial"/>
          <w:szCs w:val="24"/>
        </w:rPr>
        <w:tab/>
      </w:r>
      <w:r w:rsidR="005F2797" w:rsidRPr="004C2962">
        <w:rPr>
          <w:rFonts w:eastAsia="Arial" w:cs="Arial"/>
          <w:szCs w:val="24"/>
        </w:rPr>
        <w:t xml:space="preserve">The group reached consensus in recognising the benefits of introducing a mental health crisis moratorium. Members of the group had experience of dealing with clients who had mental health issues and were very well aware of the additional </w:t>
      </w:r>
      <w:r w:rsidR="005F2797" w:rsidRPr="004C2962">
        <w:rPr>
          <w:rFonts w:eastAsia="Arial" w:cs="Arial"/>
          <w:szCs w:val="24"/>
        </w:rPr>
        <w:lastRenderedPageBreak/>
        <w:t xml:space="preserve">stress unsustainable debts can have. They recognised that the mental health </w:t>
      </w:r>
      <w:r w:rsidR="00CE4B2F" w:rsidRPr="004C2962">
        <w:rPr>
          <w:rFonts w:eastAsia="Arial" w:cs="Arial"/>
          <w:szCs w:val="24"/>
        </w:rPr>
        <w:t xml:space="preserve">crisis </w:t>
      </w:r>
      <w:r w:rsidR="008E3B7E">
        <w:rPr>
          <w:rFonts w:eastAsia="Arial" w:cs="Arial"/>
          <w:szCs w:val="24"/>
        </w:rPr>
        <w:t>breathing space</w:t>
      </w:r>
      <w:r w:rsidR="005F2797" w:rsidRPr="004C2962">
        <w:rPr>
          <w:rFonts w:eastAsia="Arial" w:cs="Arial"/>
          <w:szCs w:val="24"/>
        </w:rPr>
        <w:t xml:space="preserve"> in England and Wales only applies to people in crisis care. Some members of the group highlighted potential limitations with that approach as they were aware of individuals who would benefit from that support but were not necessarily in care. Therefore, the group believed a more holistic approach should be taken if such a provision was adopted in Scotland. It would be vital for mental health professionals to be involved with the development of the provision.</w:t>
      </w:r>
    </w:p>
    <w:p w14:paraId="2B288798" w14:textId="5A150F9C" w:rsidR="005F2797" w:rsidRPr="004C2962" w:rsidRDefault="00A04479" w:rsidP="000C6DC8">
      <w:pPr>
        <w:rPr>
          <w:rFonts w:cs="Arial"/>
          <w:szCs w:val="24"/>
        </w:rPr>
      </w:pPr>
      <w:r>
        <w:rPr>
          <w:rFonts w:eastAsia="Arial" w:cs="Arial"/>
          <w:szCs w:val="24"/>
        </w:rPr>
        <w:t>2.3</w:t>
      </w:r>
      <w:r w:rsidR="005C0460">
        <w:rPr>
          <w:rFonts w:eastAsia="Arial" w:cs="Arial"/>
          <w:szCs w:val="24"/>
        </w:rPr>
        <w:t>2</w:t>
      </w:r>
      <w:r w:rsidR="007E1DC0">
        <w:rPr>
          <w:rFonts w:eastAsia="Arial" w:cs="Arial"/>
          <w:szCs w:val="24"/>
        </w:rPr>
        <w:tab/>
      </w:r>
      <w:r w:rsidR="005F2797" w:rsidRPr="004C2962">
        <w:rPr>
          <w:rFonts w:eastAsia="Arial" w:cs="Arial"/>
          <w:szCs w:val="24"/>
        </w:rPr>
        <w:t xml:space="preserve">In considering how a mental health crisis moratorium could be adopted in Scotland, the group reviewed similar provisions under </w:t>
      </w:r>
      <w:r w:rsidR="00F56804">
        <w:rPr>
          <w:rFonts w:eastAsia="Arial" w:cs="Arial"/>
          <w:szCs w:val="24"/>
        </w:rPr>
        <w:t>breathing space</w:t>
      </w:r>
      <w:r w:rsidR="005F2797" w:rsidRPr="004C2962">
        <w:rPr>
          <w:rFonts w:eastAsia="Arial" w:cs="Arial"/>
          <w:szCs w:val="24"/>
        </w:rPr>
        <w:t xml:space="preserve">. Some members of the group raised concerns about the application process applied in this scheme. One of the main issues is the restricted list of mental health professionals required to support the application. Some members of the group believe this list should be more open if a mental health crisis moratorium is to be introduced in Scotland.  However, other members of the group did not favour that list being too open. They believe the criteria set out in England and Wales aims to ensure the appropriate people are accessing this protection. </w:t>
      </w:r>
    </w:p>
    <w:p w14:paraId="43E0011C" w14:textId="503F30BC" w:rsidR="005F2797" w:rsidRPr="004C2962" w:rsidRDefault="007E1DC0" w:rsidP="000C6DC8">
      <w:pPr>
        <w:rPr>
          <w:rFonts w:cs="Arial"/>
          <w:szCs w:val="24"/>
        </w:rPr>
      </w:pPr>
      <w:r>
        <w:rPr>
          <w:rFonts w:eastAsia="Arial" w:cs="Arial"/>
          <w:szCs w:val="24"/>
        </w:rPr>
        <w:t>2.3</w:t>
      </w:r>
      <w:r w:rsidR="005C0460">
        <w:rPr>
          <w:rFonts w:eastAsia="Arial" w:cs="Arial"/>
          <w:szCs w:val="24"/>
        </w:rPr>
        <w:t>3</w:t>
      </w:r>
      <w:r>
        <w:rPr>
          <w:rFonts w:eastAsia="Arial" w:cs="Arial"/>
          <w:szCs w:val="24"/>
        </w:rPr>
        <w:tab/>
      </w:r>
      <w:r w:rsidR="005F2797" w:rsidRPr="004C2962">
        <w:rPr>
          <w:rFonts w:eastAsia="Arial" w:cs="Arial"/>
          <w:szCs w:val="24"/>
        </w:rPr>
        <w:t xml:space="preserve">A further concern is the requirement for the money adviser to obtain and update the information on a debtor’s mental health crisis treatment. This could potentially prove onerous on the money adviser and this raised questions over the adoption of this aspect of </w:t>
      </w:r>
      <w:r w:rsidR="00F56804">
        <w:rPr>
          <w:rFonts w:eastAsia="Arial" w:cs="Arial"/>
          <w:szCs w:val="24"/>
        </w:rPr>
        <w:t>breathing space</w:t>
      </w:r>
      <w:r w:rsidR="005F2797" w:rsidRPr="004C2962">
        <w:rPr>
          <w:rFonts w:eastAsia="Arial" w:cs="Arial"/>
          <w:szCs w:val="24"/>
        </w:rPr>
        <w:t xml:space="preserve">. However, it was also highlighted that in </w:t>
      </w:r>
      <w:r w:rsidR="00F56804">
        <w:rPr>
          <w:rFonts w:eastAsia="Arial" w:cs="Arial"/>
          <w:szCs w:val="24"/>
        </w:rPr>
        <w:t>breathing space</w:t>
      </w:r>
      <w:r w:rsidR="005F2797" w:rsidRPr="004C2962">
        <w:rPr>
          <w:rFonts w:eastAsia="Arial" w:cs="Arial"/>
          <w:szCs w:val="24"/>
        </w:rPr>
        <w:t xml:space="preserve"> the requirement for this updated information is to confirm the individual remains eligible for the protections afforded such as not being required to pay interest and fees for their qualifying debt throughout the moratorium period. </w:t>
      </w:r>
    </w:p>
    <w:p w14:paraId="128C980F" w14:textId="77777777" w:rsidR="00544291" w:rsidRDefault="007E1DC0" w:rsidP="00544291">
      <w:pPr>
        <w:rPr>
          <w:rFonts w:eastAsia="Arial"/>
        </w:rPr>
      </w:pPr>
      <w:r>
        <w:rPr>
          <w:rFonts w:eastAsia="Arial"/>
        </w:rPr>
        <w:t>2.3</w:t>
      </w:r>
      <w:r w:rsidR="005C0460">
        <w:rPr>
          <w:rFonts w:eastAsia="Arial"/>
        </w:rPr>
        <w:t>4</w:t>
      </w:r>
      <w:r>
        <w:rPr>
          <w:rFonts w:eastAsia="Arial"/>
        </w:rPr>
        <w:tab/>
      </w:r>
      <w:r w:rsidR="005F2797" w:rsidRPr="004C2962">
        <w:rPr>
          <w:rFonts w:eastAsia="Arial"/>
        </w:rPr>
        <w:t xml:space="preserve">The group heard from various representatives who have experience of the mental health crisis breathing space. It was noted at the time of them speaking with the group that the uptake of this particular provision in England and Wales was low. It was acknowledged that it was still early in the introduction of breathing space.  Consequently, the statistical data available on the effectiveness of the mental health crisis breathing space was limited at the time. Although it was not clear why the uptake was low, there was a recognition that the number of applications may have </w:t>
      </w:r>
      <w:r w:rsidR="005F2797" w:rsidRPr="00544291">
        <w:rPr>
          <w:rFonts w:eastAsia="Arial"/>
        </w:rPr>
        <w:lastRenderedPageBreak/>
        <w:t xml:space="preserve">been affected by the design or delivery planning of the provision. The group, therefore, again recognised the importance of involving the mental health profession should a similar provision be developed in Scotland. The </w:t>
      </w:r>
      <w:r w:rsidR="007E1F90" w:rsidRPr="00544291">
        <w:rPr>
          <w:rFonts w:eastAsia="Arial"/>
        </w:rPr>
        <w:t xml:space="preserve">UK </w:t>
      </w:r>
      <w:r w:rsidR="005F2797" w:rsidRPr="00544291">
        <w:rPr>
          <w:rFonts w:eastAsia="Arial"/>
        </w:rPr>
        <w:t>Insolvency Service will update colleagues in Scotland when more detail on the uptake becomes available</w:t>
      </w:r>
      <w:r w:rsidR="005F2797" w:rsidRPr="004C2962">
        <w:rPr>
          <w:rFonts w:eastAsia="Arial"/>
        </w:rPr>
        <w:t xml:space="preserve">. </w:t>
      </w:r>
    </w:p>
    <w:p w14:paraId="40AE9D9C" w14:textId="6FF16B96" w:rsidR="005F2797" w:rsidRPr="00544291" w:rsidRDefault="005C0460" w:rsidP="000C6DC8">
      <w:pPr>
        <w:rPr>
          <w:rFonts w:eastAsia="Arial"/>
        </w:rPr>
      </w:pPr>
      <w:r>
        <w:rPr>
          <w:rFonts w:eastAsia="Arial"/>
        </w:rPr>
        <w:t>2.35</w:t>
      </w:r>
      <w:r w:rsidR="007E1DC0">
        <w:rPr>
          <w:rFonts w:eastAsia="Arial"/>
        </w:rPr>
        <w:tab/>
      </w:r>
      <w:r w:rsidR="005F2797" w:rsidRPr="004C2962">
        <w:rPr>
          <w:rFonts w:eastAsia="Arial"/>
        </w:rPr>
        <w:t>While the general principles underpinning the mental health crisis protections were strongly supported by the group, it would be important to learn for the challenges faced in implementing the provisions in England and Wales prior to considering similar measures in Scotland.</w:t>
      </w:r>
    </w:p>
    <w:p w14:paraId="2B5B479F" w14:textId="437056F9" w:rsidR="005F2797" w:rsidRPr="00544291" w:rsidRDefault="005F2797" w:rsidP="00544291">
      <w:pPr>
        <w:pStyle w:val="Heading3"/>
      </w:pPr>
      <w:r w:rsidRPr="008E2E0E">
        <w:rPr>
          <w:rFonts w:eastAsia="Arial"/>
        </w:rPr>
        <w:t>Recommendation</w:t>
      </w:r>
    </w:p>
    <w:p w14:paraId="2FD85585" w14:textId="04537314" w:rsidR="005F2797" w:rsidRPr="00544291" w:rsidRDefault="007E1DC0" w:rsidP="000C6DC8">
      <w:pPr>
        <w:pStyle w:val="ListParagraph"/>
        <w:numPr>
          <w:ilvl w:val="0"/>
          <w:numId w:val="60"/>
        </w:numPr>
        <w:rPr>
          <w:rFonts w:cs="Arial"/>
          <w:szCs w:val="24"/>
        </w:rPr>
      </w:pPr>
      <w:r w:rsidRPr="007E1DC0">
        <w:rPr>
          <w:rFonts w:eastAsia="Arial" w:cs="Arial"/>
          <w:b/>
          <w:szCs w:val="24"/>
        </w:rPr>
        <w:t>Recommendation</w:t>
      </w:r>
      <w:r>
        <w:rPr>
          <w:rFonts w:eastAsia="Arial" w:cs="Arial"/>
          <w:szCs w:val="24"/>
        </w:rPr>
        <w:t xml:space="preserve"> </w:t>
      </w:r>
      <w:r w:rsidR="00A04479">
        <w:rPr>
          <w:rFonts w:eastAsia="Arial" w:cs="Arial"/>
          <w:b/>
          <w:szCs w:val="24"/>
        </w:rPr>
        <w:t>6</w:t>
      </w:r>
      <w:r>
        <w:rPr>
          <w:rFonts w:eastAsia="Arial" w:cs="Arial"/>
          <w:szCs w:val="24"/>
        </w:rPr>
        <w:t xml:space="preserve"> - </w:t>
      </w:r>
      <w:r w:rsidR="005F2797" w:rsidRPr="006E7023">
        <w:rPr>
          <w:rFonts w:eastAsia="Arial" w:cs="Arial"/>
          <w:szCs w:val="24"/>
        </w:rPr>
        <w:t>The group recommends a mental health crisis moratorium is considered in Scotland. Development in this area would need to take into account the challenges in practical application of the mental health crisis breathing space and a majority of group members do not believe Scotland’s approach should mirror England and Wales exactly. In particular, some members of the group believe the list of medical professionals considered as an</w:t>
      </w:r>
      <w:r w:rsidR="00CE4B2F">
        <w:rPr>
          <w:rFonts w:eastAsia="Arial" w:cs="Arial"/>
          <w:szCs w:val="24"/>
        </w:rPr>
        <w:t xml:space="preserve"> </w:t>
      </w:r>
      <w:r w:rsidR="0090516F" w:rsidRPr="004C2962">
        <w:rPr>
          <w:rFonts w:eastAsia="Arial" w:cs="Arial"/>
          <w:szCs w:val="24"/>
        </w:rPr>
        <w:t>approved</w:t>
      </w:r>
      <w:r w:rsidR="00CE4B2F" w:rsidRPr="004C2962">
        <w:rPr>
          <w:rFonts w:eastAsia="Arial" w:cs="Arial"/>
          <w:szCs w:val="24"/>
        </w:rPr>
        <w:t xml:space="preserve"> Mental Health Professional</w:t>
      </w:r>
      <w:r w:rsidR="005F2797" w:rsidRPr="006E7023">
        <w:rPr>
          <w:rFonts w:eastAsia="Arial" w:cs="Arial"/>
          <w:szCs w:val="24"/>
        </w:rPr>
        <w:t xml:space="preserve"> is too narrow and question whether including other professions may deliver a less restricted process. </w:t>
      </w:r>
      <w:r w:rsidR="005F2797" w:rsidRPr="006E7023">
        <w:rPr>
          <w:rFonts w:eastAsia="Calibri" w:cs="Arial"/>
          <w:szCs w:val="24"/>
        </w:rPr>
        <w:t xml:space="preserve">The list of </w:t>
      </w:r>
      <w:r w:rsidR="0090516F" w:rsidRPr="004C2962">
        <w:rPr>
          <w:rFonts w:eastAsia="Arial" w:cs="Arial"/>
          <w:szCs w:val="24"/>
        </w:rPr>
        <w:t>approved</w:t>
      </w:r>
      <w:r w:rsidR="00CE4B2F" w:rsidRPr="004C2962">
        <w:rPr>
          <w:rFonts w:eastAsia="Arial" w:cs="Arial"/>
          <w:szCs w:val="24"/>
        </w:rPr>
        <w:t xml:space="preserve"> Mental Health Professional</w:t>
      </w:r>
      <w:r w:rsidR="00CE4B2F">
        <w:rPr>
          <w:rFonts w:eastAsia="Calibri" w:cs="Arial"/>
          <w:szCs w:val="24"/>
        </w:rPr>
        <w:t xml:space="preserve">’s </w:t>
      </w:r>
      <w:r w:rsidR="005F2797" w:rsidRPr="006E7023">
        <w:rPr>
          <w:rFonts w:eastAsia="Calibri" w:cs="Arial"/>
          <w:szCs w:val="24"/>
        </w:rPr>
        <w:t>should mirror that of the existing Community Health Teams in Scotland which consist of NHS and local authority staff including, psychiatrists, psychologists, community psychiatric health nurses, mental health officers and social workers.</w:t>
      </w:r>
      <w:r w:rsidR="008F72EC">
        <w:rPr>
          <w:rFonts w:cs="Arial"/>
          <w:szCs w:val="24"/>
        </w:rPr>
        <w:t xml:space="preserve"> </w:t>
      </w:r>
      <w:r w:rsidR="005F2797" w:rsidRPr="008F72EC">
        <w:rPr>
          <w:rFonts w:eastAsia="Arial" w:cs="Arial"/>
          <w:szCs w:val="24"/>
        </w:rPr>
        <w:t>However, views were divided on this and other members urged caution in setting criteria that are too open.</w:t>
      </w:r>
    </w:p>
    <w:p w14:paraId="10727FF7" w14:textId="77777777" w:rsidR="00544291" w:rsidRPr="00544291" w:rsidRDefault="00544291" w:rsidP="00544291">
      <w:pPr>
        <w:pStyle w:val="ListParagraph"/>
        <w:rPr>
          <w:rFonts w:cs="Arial"/>
          <w:szCs w:val="24"/>
        </w:rPr>
      </w:pPr>
    </w:p>
    <w:p w14:paraId="1D738DA7" w14:textId="66B6ECBD" w:rsidR="00CE4B2F" w:rsidRPr="00544291" w:rsidRDefault="007E1DC0" w:rsidP="000C6DC8">
      <w:pPr>
        <w:pStyle w:val="ListParagraph"/>
        <w:numPr>
          <w:ilvl w:val="0"/>
          <w:numId w:val="60"/>
        </w:numPr>
        <w:rPr>
          <w:rFonts w:cs="Arial"/>
          <w:szCs w:val="24"/>
        </w:rPr>
      </w:pPr>
      <w:r w:rsidRPr="007E1DC0">
        <w:rPr>
          <w:rFonts w:eastAsia="Arial" w:cs="Arial"/>
          <w:b/>
          <w:szCs w:val="24"/>
        </w:rPr>
        <w:t>R</w:t>
      </w:r>
      <w:r w:rsidR="00A04479">
        <w:rPr>
          <w:rFonts w:eastAsia="Arial" w:cs="Arial"/>
          <w:b/>
          <w:szCs w:val="24"/>
        </w:rPr>
        <w:t>ecommendation 7</w:t>
      </w:r>
      <w:r>
        <w:rPr>
          <w:rFonts w:eastAsia="Arial" w:cs="Arial"/>
          <w:szCs w:val="24"/>
        </w:rPr>
        <w:t xml:space="preserve"> - </w:t>
      </w:r>
      <w:r w:rsidR="005F2797" w:rsidRPr="006E7023">
        <w:rPr>
          <w:rFonts w:eastAsia="Arial" w:cs="Arial"/>
          <w:szCs w:val="24"/>
        </w:rPr>
        <w:t xml:space="preserve">The group considers that this particular provision will require deeper investigation and discussion with Scotland’s mental health profession, relevant community groups, and the appropriate policy areas within Scottish Government before it can progress. Although the group would recommend introducing a mental health crisis moratorium in Scotland they believe the practical application of such a provision will require further </w:t>
      </w:r>
      <w:r w:rsidR="005F2797" w:rsidRPr="006E7023">
        <w:rPr>
          <w:rFonts w:eastAsia="Arial" w:cs="Arial"/>
          <w:szCs w:val="24"/>
        </w:rPr>
        <w:lastRenderedPageBreak/>
        <w:t>consultation, possibly as part of stage 3 of the wider review, which should also align with the Scottish mental health law review currently being undertaken.</w:t>
      </w:r>
    </w:p>
    <w:p w14:paraId="352CC3B9" w14:textId="2D87A332" w:rsidR="005F2797" w:rsidRPr="00544291" w:rsidRDefault="007E1DC0" w:rsidP="00544291">
      <w:pPr>
        <w:pStyle w:val="Heading1"/>
      </w:pPr>
      <w:bookmarkStart w:id="11" w:name="_Toc100244825"/>
      <w:bookmarkStart w:id="12" w:name="_Toc100245004"/>
      <w:r>
        <w:rPr>
          <w:rFonts w:eastAsia="Arial"/>
        </w:rPr>
        <w:t>3.</w:t>
      </w:r>
      <w:r>
        <w:rPr>
          <w:rFonts w:eastAsia="Arial"/>
        </w:rPr>
        <w:tab/>
      </w:r>
      <w:r w:rsidR="005F2797" w:rsidRPr="004C2962">
        <w:rPr>
          <w:rFonts w:eastAsia="Arial"/>
        </w:rPr>
        <w:t>C</w:t>
      </w:r>
      <w:r w:rsidR="00544291">
        <w:rPr>
          <w:rFonts w:eastAsia="Arial"/>
        </w:rPr>
        <w:t>ommon Financial Tool</w:t>
      </w:r>
      <w:bookmarkEnd w:id="11"/>
      <w:bookmarkEnd w:id="12"/>
    </w:p>
    <w:p w14:paraId="47752323" w14:textId="356C78E8" w:rsidR="005F2797" w:rsidRPr="004C2962" w:rsidRDefault="007E1DC0" w:rsidP="000C6DC8">
      <w:pPr>
        <w:rPr>
          <w:rFonts w:cs="Arial"/>
          <w:szCs w:val="24"/>
        </w:rPr>
      </w:pPr>
      <w:r>
        <w:rPr>
          <w:rFonts w:eastAsia="Arial" w:cs="Arial"/>
          <w:szCs w:val="24"/>
        </w:rPr>
        <w:t>3.1</w:t>
      </w:r>
      <w:r>
        <w:rPr>
          <w:rFonts w:eastAsia="Arial" w:cs="Arial"/>
          <w:szCs w:val="24"/>
        </w:rPr>
        <w:tab/>
      </w:r>
      <w:r w:rsidR="005F2797" w:rsidRPr="004C2962">
        <w:rPr>
          <w:rFonts w:eastAsia="Arial" w:cs="Arial"/>
          <w:szCs w:val="24"/>
        </w:rPr>
        <w:t>The CFT</w:t>
      </w:r>
      <w:r w:rsidR="008E2E0E">
        <w:rPr>
          <w:rFonts w:eastAsia="Arial" w:cs="Arial"/>
          <w:szCs w:val="24"/>
        </w:rPr>
        <w:t xml:space="preserve"> </w:t>
      </w:r>
      <w:r w:rsidR="005F2797" w:rsidRPr="004C2962">
        <w:rPr>
          <w:rFonts w:eastAsia="Arial" w:cs="Arial"/>
          <w:szCs w:val="24"/>
        </w:rPr>
        <w:t xml:space="preserve">was introduced by </w:t>
      </w:r>
      <w:r w:rsidR="00D37120">
        <w:rPr>
          <w:rFonts w:eastAsia="Arial" w:cs="Arial"/>
          <w:szCs w:val="24"/>
        </w:rPr>
        <w:t>the 2014 Act</w:t>
      </w:r>
      <w:r w:rsidR="005F2797" w:rsidRPr="004C2962">
        <w:rPr>
          <w:rFonts w:eastAsia="Arial" w:cs="Arial"/>
          <w:szCs w:val="24"/>
        </w:rPr>
        <w:t xml:space="preserve"> and The Common Financial Tool etc. (Scotland) Regulations 2014</w:t>
      </w:r>
      <w:r w:rsidR="001E125B">
        <w:rPr>
          <w:rFonts w:eastAsia="Arial" w:cs="Arial"/>
          <w:szCs w:val="24"/>
        </w:rPr>
        <w:t xml:space="preserve"> (“the 2014 Regulations”)</w:t>
      </w:r>
      <w:r w:rsidR="005F2797" w:rsidRPr="004C2962">
        <w:rPr>
          <w:rFonts w:eastAsia="Arial" w:cs="Arial"/>
          <w:szCs w:val="24"/>
        </w:rPr>
        <w:t>. Following consolidation of bankruptcy legislation, the provisions are now contained in the 2016</w:t>
      </w:r>
      <w:r w:rsidR="00D37120">
        <w:rPr>
          <w:rFonts w:eastAsia="Arial" w:cs="Arial"/>
          <w:szCs w:val="24"/>
        </w:rPr>
        <w:t xml:space="preserve"> Act</w:t>
      </w:r>
      <w:r w:rsidR="005F2797" w:rsidRPr="004C2962">
        <w:rPr>
          <w:rFonts w:eastAsia="Arial" w:cs="Arial"/>
          <w:szCs w:val="24"/>
        </w:rPr>
        <w:t xml:space="preserve"> and the Bankruptcy (Scotland) Regulations 2016</w:t>
      </w:r>
      <w:r w:rsidR="001E125B">
        <w:rPr>
          <w:rFonts w:eastAsia="Arial" w:cs="Arial"/>
          <w:szCs w:val="24"/>
        </w:rPr>
        <w:t xml:space="preserve"> (“the 2016 Regulations”)</w:t>
      </w:r>
      <w:r w:rsidR="005F2797" w:rsidRPr="004C2962">
        <w:rPr>
          <w:rFonts w:eastAsia="Arial" w:cs="Arial"/>
          <w:szCs w:val="24"/>
        </w:rPr>
        <w:t xml:space="preserve">. </w:t>
      </w:r>
    </w:p>
    <w:p w14:paraId="509628F8" w14:textId="386D6B5F" w:rsidR="005F2797" w:rsidRPr="004C2962" w:rsidRDefault="007E1DC0" w:rsidP="000C6DC8">
      <w:pPr>
        <w:rPr>
          <w:rFonts w:cs="Arial"/>
          <w:szCs w:val="24"/>
        </w:rPr>
      </w:pPr>
      <w:r>
        <w:rPr>
          <w:rFonts w:eastAsia="Arial" w:cs="Arial"/>
          <w:szCs w:val="24"/>
        </w:rPr>
        <w:t>3.2</w:t>
      </w:r>
      <w:r>
        <w:rPr>
          <w:rFonts w:eastAsia="Arial" w:cs="Arial"/>
          <w:szCs w:val="24"/>
        </w:rPr>
        <w:tab/>
      </w:r>
      <w:r w:rsidR="005F2797" w:rsidRPr="004C2962">
        <w:rPr>
          <w:rFonts w:eastAsia="Arial" w:cs="Arial"/>
          <w:szCs w:val="24"/>
        </w:rPr>
        <w:t>The CFT is used to calculate a debtor’s contribution in each of Scotland’s statutory debt solutions. The statutory tool prescribed is currently the Common Financial Statement</w:t>
      </w:r>
      <w:r w:rsidR="00CE4B2F">
        <w:rPr>
          <w:rFonts w:eastAsia="Arial" w:cs="Arial"/>
          <w:szCs w:val="24"/>
        </w:rPr>
        <w:t xml:space="preserve"> (“CFS”)</w:t>
      </w:r>
      <w:r w:rsidR="005F2797" w:rsidRPr="004C2962">
        <w:rPr>
          <w:rFonts w:eastAsia="Arial" w:cs="Arial"/>
          <w:szCs w:val="24"/>
        </w:rPr>
        <w:t xml:space="preserve"> which is operated by the Money Advice Trust and available for use under license. The Money Advice Trust commissions work to set and uprate certain expenditure guidelines (or trigger figures) that relate categories of expenditure based on household composition.</w:t>
      </w:r>
    </w:p>
    <w:p w14:paraId="6149AC5C" w14:textId="7BF4771B" w:rsidR="005F2797" w:rsidRPr="004C2962" w:rsidRDefault="007E1DC0" w:rsidP="000C6DC8">
      <w:pPr>
        <w:rPr>
          <w:rFonts w:cs="Arial"/>
          <w:szCs w:val="24"/>
        </w:rPr>
      </w:pPr>
      <w:r>
        <w:rPr>
          <w:rFonts w:eastAsia="Arial" w:cs="Arial"/>
          <w:szCs w:val="24"/>
        </w:rPr>
        <w:t>3.3</w:t>
      </w:r>
      <w:r>
        <w:rPr>
          <w:rFonts w:eastAsia="Arial" w:cs="Arial"/>
          <w:szCs w:val="24"/>
        </w:rPr>
        <w:tab/>
      </w:r>
      <w:r w:rsidR="005F2797" w:rsidRPr="004C2962">
        <w:rPr>
          <w:rFonts w:eastAsia="Arial" w:cs="Arial"/>
          <w:szCs w:val="24"/>
        </w:rPr>
        <w:t xml:space="preserve">In Scotland, the full surplus income calculated using the CFT requires to be paid as a contribution in both bankruptcy and </w:t>
      </w:r>
      <w:r w:rsidR="00D37120">
        <w:rPr>
          <w:rFonts w:eastAsia="Arial" w:cs="Arial"/>
          <w:szCs w:val="24"/>
        </w:rPr>
        <w:t>PTDs</w:t>
      </w:r>
      <w:r w:rsidR="005F2797" w:rsidRPr="004C2962">
        <w:rPr>
          <w:rFonts w:eastAsia="Arial" w:cs="Arial"/>
          <w:szCs w:val="24"/>
        </w:rPr>
        <w:t xml:space="preserve">. Although the CFT is also utilised in DAS, greater flexibility is afforded in fixing the contributions payable. </w:t>
      </w:r>
    </w:p>
    <w:p w14:paraId="02DB5E3D" w14:textId="14D6D9E6" w:rsidR="005F2797" w:rsidRPr="00544291" w:rsidRDefault="005F2797" w:rsidP="00544291">
      <w:pPr>
        <w:pStyle w:val="Heading2"/>
      </w:pPr>
      <w:bookmarkStart w:id="13" w:name="_Toc100244826"/>
      <w:bookmarkStart w:id="14" w:name="_Toc100245005"/>
      <w:r w:rsidRPr="004C2962">
        <w:rPr>
          <w:rFonts w:eastAsia="Arial"/>
        </w:rPr>
        <w:t>Methodology</w:t>
      </w:r>
      <w:bookmarkEnd w:id="13"/>
      <w:bookmarkEnd w:id="14"/>
    </w:p>
    <w:p w14:paraId="069B1122" w14:textId="790D0272" w:rsidR="005F2797" w:rsidRPr="004C2962" w:rsidRDefault="007E1DC0" w:rsidP="000C6DC8">
      <w:pPr>
        <w:rPr>
          <w:rFonts w:cs="Arial"/>
          <w:szCs w:val="24"/>
        </w:rPr>
      </w:pPr>
      <w:r>
        <w:rPr>
          <w:rFonts w:eastAsia="Arial" w:cs="Arial"/>
          <w:szCs w:val="24"/>
        </w:rPr>
        <w:t>3.4</w:t>
      </w:r>
      <w:r>
        <w:rPr>
          <w:rFonts w:eastAsia="Arial" w:cs="Arial"/>
          <w:szCs w:val="24"/>
        </w:rPr>
        <w:tab/>
      </w:r>
      <w:r w:rsidR="005F2797" w:rsidRPr="004C2962">
        <w:rPr>
          <w:rFonts w:eastAsia="Arial" w:cs="Arial"/>
          <w:szCs w:val="24"/>
        </w:rPr>
        <w:t xml:space="preserve">The group considered the two main methodologies that could be adopted for the CFT - an income and expenditure model such as the current tool used in Scotland and an income based model which is used by some other countries around the world.  </w:t>
      </w:r>
    </w:p>
    <w:p w14:paraId="6D3E23C4" w14:textId="6CA5A485" w:rsidR="005F2797" w:rsidRPr="004C2962" w:rsidRDefault="007E1DC0" w:rsidP="000C6DC8">
      <w:pPr>
        <w:rPr>
          <w:rFonts w:cs="Arial"/>
          <w:szCs w:val="24"/>
        </w:rPr>
      </w:pPr>
      <w:r>
        <w:rPr>
          <w:rFonts w:eastAsia="Arial" w:cs="Arial"/>
          <w:szCs w:val="24"/>
        </w:rPr>
        <w:t>3.5</w:t>
      </w:r>
      <w:r>
        <w:rPr>
          <w:rFonts w:eastAsia="Arial" w:cs="Arial"/>
          <w:szCs w:val="24"/>
        </w:rPr>
        <w:tab/>
      </w:r>
      <w:r w:rsidR="005F2797" w:rsidRPr="004C2962">
        <w:rPr>
          <w:rFonts w:eastAsia="Arial" w:cs="Arial"/>
          <w:szCs w:val="24"/>
        </w:rPr>
        <w:t xml:space="preserve">Aligned to the methodologies, the group also identified two elements to consider. They were:  </w:t>
      </w:r>
    </w:p>
    <w:p w14:paraId="03EF0327" w14:textId="77777777" w:rsidR="005F2797" w:rsidRPr="004C2962" w:rsidRDefault="005F2797" w:rsidP="000C6DC8">
      <w:pPr>
        <w:pStyle w:val="ListParagraph"/>
        <w:numPr>
          <w:ilvl w:val="0"/>
          <w:numId w:val="31"/>
        </w:numPr>
        <w:rPr>
          <w:rFonts w:eastAsiaTheme="minorEastAsia" w:cs="Arial"/>
          <w:szCs w:val="24"/>
        </w:rPr>
      </w:pPr>
      <w:r w:rsidRPr="004C2962">
        <w:rPr>
          <w:rFonts w:eastAsia="Arial" w:cs="Arial"/>
          <w:szCs w:val="24"/>
        </w:rPr>
        <w:t xml:space="preserve">the policy intention of the CFT; and  </w:t>
      </w:r>
    </w:p>
    <w:p w14:paraId="7B055E5E" w14:textId="34E71574" w:rsidR="005F2797" w:rsidRPr="00544291" w:rsidRDefault="005F2797" w:rsidP="000C6DC8">
      <w:pPr>
        <w:pStyle w:val="ListParagraph"/>
        <w:numPr>
          <w:ilvl w:val="0"/>
          <w:numId w:val="31"/>
        </w:numPr>
        <w:rPr>
          <w:rFonts w:eastAsiaTheme="minorEastAsia" w:cs="Arial"/>
          <w:szCs w:val="24"/>
        </w:rPr>
      </w:pPr>
      <w:r w:rsidRPr="004C2962">
        <w:rPr>
          <w:rFonts w:eastAsia="Arial" w:cs="Arial"/>
          <w:szCs w:val="24"/>
        </w:rPr>
        <w:t>the operational policy associated with the CFT.</w:t>
      </w:r>
    </w:p>
    <w:p w14:paraId="28A9DC41" w14:textId="5EACFC53" w:rsidR="005F2797" w:rsidRPr="004C2962" w:rsidRDefault="007E1DC0" w:rsidP="000C6DC8">
      <w:pPr>
        <w:rPr>
          <w:rFonts w:cs="Arial"/>
          <w:szCs w:val="24"/>
        </w:rPr>
      </w:pPr>
      <w:r>
        <w:rPr>
          <w:rFonts w:eastAsia="Arial" w:cs="Arial"/>
          <w:szCs w:val="24"/>
        </w:rPr>
        <w:lastRenderedPageBreak/>
        <w:t>3.6</w:t>
      </w:r>
      <w:r>
        <w:rPr>
          <w:rFonts w:eastAsia="Arial" w:cs="Arial"/>
          <w:szCs w:val="24"/>
        </w:rPr>
        <w:tab/>
      </w:r>
      <w:r w:rsidR="005F2797" w:rsidRPr="004C2962">
        <w:rPr>
          <w:rFonts w:eastAsia="Arial" w:cs="Arial"/>
          <w:szCs w:val="24"/>
        </w:rPr>
        <w:t xml:space="preserve">The group discussed the priority policy objectives of the Scottish Government in requiring the CFT to be used with all Scottish statutory debt solutions. The two main objectives identified by the group were: </w:t>
      </w:r>
    </w:p>
    <w:p w14:paraId="177376F1" w14:textId="77777777" w:rsidR="005F2797" w:rsidRPr="004C2962" w:rsidRDefault="005F2797" w:rsidP="000C6DC8">
      <w:pPr>
        <w:pStyle w:val="ListParagraph"/>
        <w:numPr>
          <w:ilvl w:val="0"/>
          <w:numId w:val="30"/>
        </w:numPr>
        <w:rPr>
          <w:rFonts w:eastAsiaTheme="minorEastAsia" w:cs="Arial"/>
          <w:szCs w:val="24"/>
        </w:rPr>
      </w:pPr>
      <w:r w:rsidRPr="004C2962">
        <w:rPr>
          <w:rFonts w:eastAsia="Arial" w:cs="Arial"/>
          <w:szCs w:val="24"/>
        </w:rPr>
        <w:t xml:space="preserve">to promote consistency by providing the same outcome regardless of the individual using the tool; and </w:t>
      </w:r>
    </w:p>
    <w:p w14:paraId="6F305335" w14:textId="1C42D9F7" w:rsidR="005F2797" w:rsidRPr="00544291" w:rsidRDefault="005F2797" w:rsidP="000C6DC8">
      <w:pPr>
        <w:pStyle w:val="ListParagraph"/>
        <w:numPr>
          <w:ilvl w:val="0"/>
          <w:numId w:val="30"/>
        </w:numPr>
        <w:rPr>
          <w:rFonts w:eastAsiaTheme="minorEastAsia" w:cs="Arial"/>
          <w:szCs w:val="24"/>
        </w:rPr>
      </w:pPr>
      <w:r w:rsidRPr="004C2962">
        <w:rPr>
          <w:rFonts w:eastAsia="Arial" w:cs="Arial"/>
          <w:szCs w:val="24"/>
        </w:rPr>
        <w:t>to allow for flexibility – providing nuance and the ability to consider household circumstances when assessing a potential contribution.</w:t>
      </w:r>
      <w:r w:rsidRPr="00544291">
        <w:rPr>
          <w:rFonts w:eastAsia="Arial" w:cs="Arial"/>
          <w:szCs w:val="24"/>
        </w:rPr>
        <w:t xml:space="preserve"> </w:t>
      </w:r>
    </w:p>
    <w:p w14:paraId="7519CDDA" w14:textId="0BD59A05" w:rsidR="005F2797" w:rsidRPr="004C2962" w:rsidRDefault="007E1DC0" w:rsidP="000C6DC8">
      <w:pPr>
        <w:rPr>
          <w:rFonts w:cs="Arial"/>
          <w:szCs w:val="24"/>
        </w:rPr>
      </w:pPr>
      <w:r>
        <w:rPr>
          <w:rFonts w:eastAsia="Arial" w:cs="Arial"/>
          <w:szCs w:val="24"/>
        </w:rPr>
        <w:t>3.7</w:t>
      </w:r>
      <w:r>
        <w:rPr>
          <w:rFonts w:eastAsia="Arial" w:cs="Arial"/>
          <w:szCs w:val="24"/>
        </w:rPr>
        <w:tab/>
      </w:r>
      <w:r w:rsidR="005F2797" w:rsidRPr="004C2962">
        <w:rPr>
          <w:rFonts w:eastAsia="Arial" w:cs="Arial"/>
          <w:szCs w:val="24"/>
        </w:rPr>
        <w:t xml:space="preserve">On the operational issues, the group considered the practical application of the CFT. This included the guidance and requirements when using the CFT rather than the specific mechanics of each tool.  </w:t>
      </w:r>
    </w:p>
    <w:p w14:paraId="2FEA2EAC" w14:textId="25F7E99D" w:rsidR="005F2797" w:rsidRPr="004C2962" w:rsidRDefault="007E1DC0" w:rsidP="000C6DC8">
      <w:pPr>
        <w:rPr>
          <w:rFonts w:cs="Arial"/>
          <w:szCs w:val="24"/>
        </w:rPr>
      </w:pPr>
      <w:r>
        <w:rPr>
          <w:rFonts w:eastAsia="Arial" w:cs="Arial"/>
          <w:szCs w:val="24"/>
        </w:rPr>
        <w:t>3.8</w:t>
      </w:r>
      <w:r>
        <w:rPr>
          <w:rFonts w:eastAsia="Arial" w:cs="Arial"/>
          <w:szCs w:val="24"/>
        </w:rPr>
        <w:tab/>
      </w:r>
      <w:r w:rsidR="005F2797" w:rsidRPr="004C2962">
        <w:rPr>
          <w:rFonts w:eastAsia="Arial" w:cs="Arial"/>
          <w:szCs w:val="24"/>
        </w:rPr>
        <w:t xml:space="preserve">This led the group to create a set of criteria considered to be the most important elements of a fair contribution assessment tool. The list was used to assess the strengths and weaknesses of each of the two methodologies highlighted. </w:t>
      </w:r>
    </w:p>
    <w:p w14:paraId="05F81F62" w14:textId="05ABB390" w:rsidR="005F2797" w:rsidRPr="004C2962" w:rsidRDefault="007E1DC0" w:rsidP="000C6DC8">
      <w:pPr>
        <w:rPr>
          <w:rFonts w:cs="Arial"/>
          <w:szCs w:val="24"/>
        </w:rPr>
      </w:pPr>
      <w:r>
        <w:rPr>
          <w:rFonts w:eastAsia="Arial" w:cs="Arial"/>
          <w:szCs w:val="24"/>
        </w:rPr>
        <w:t>3.9</w:t>
      </w:r>
      <w:r>
        <w:rPr>
          <w:rFonts w:eastAsia="Arial" w:cs="Arial"/>
          <w:szCs w:val="24"/>
        </w:rPr>
        <w:tab/>
      </w:r>
      <w:r w:rsidR="005F2797" w:rsidRPr="004C2962">
        <w:rPr>
          <w:rFonts w:eastAsia="Arial" w:cs="Arial"/>
          <w:szCs w:val="24"/>
        </w:rPr>
        <w:t xml:space="preserve">The list of criteria was as follows: </w:t>
      </w:r>
    </w:p>
    <w:p w14:paraId="1AD8ADB9" w14:textId="77777777" w:rsidR="005F2797" w:rsidRPr="004C2962" w:rsidRDefault="005F2797" w:rsidP="000C6DC8">
      <w:pPr>
        <w:pStyle w:val="ListParagraph"/>
        <w:numPr>
          <w:ilvl w:val="0"/>
          <w:numId w:val="29"/>
        </w:numPr>
        <w:rPr>
          <w:rFonts w:eastAsiaTheme="minorEastAsia" w:cs="Arial"/>
          <w:szCs w:val="24"/>
        </w:rPr>
      </w:pPr>
      <w:r w:rsidRPr="004C2962">
        <w:rPr>
          <w:rFonts w:eastAsia="Arial" w:cs="Arial"/>
          <w:szCs w:val="24"/>
        </w:rPr>
        <w:t xml:space="preserve">The level of evidence required </w:t>
      </w:r>
    </w:p>
    <w:p w14:paraId="058D51C0" w14:textId="245F93C9" w:rsidR="005F2797" w:rsidRPr="004C2962" w:rsidRDefault="005F2797" w:rsidP="000C6DC8">
      <w:pPr>
        <w:pStyle w:val="ListParagraph"/>
        <w:numPr>
          <w:ilvl w:val="0"/>
          <w:numId w:val="29"/>
        </w:numPr>
        <w:rPr>
          <w:rFonts w:eastAsiaTheme="minorEastAsia" w:cs="Arial"/>
          <w:szCs w:val="24"/>
        </w:rPr>
      </w:pPr>
      <w:r w:rsidRPr="004C2962">
        <w:rPr>
          <w:rFonts w:eastAsia="Arial" w:cs="Arial"/>
          <w:szCs w:val="24"/>
        </w:rPr>
        <w:t xml:space="preserve">Whether the tool was judgemental on </w:t>
      </w:r>
      <w:r w:rsidR="00D37120">
        <w:rPr>
          <w:rFonts w:eastAsia="Arial" w:cs="Arial"/>
          <w:szCs w:val="24"/>
        </w:rPr>
        <w:t xml:space="preserve">a </w:t>
      </w:r>
      <w:r w:rsidRPr="004C2962">
        <w:rPr>
          <w:rFonts w:eastAsia="Arial" w:cs="Arial"/>
          <w:szCs w:val="24"/>
        </w:rPr>
        <w:t>debtor’s expenditure</w:t>
      </w:r>
    </w:p>
    <w:p w14:paraId="1985E76D" w14:textId="77777777" w:rsidR="005F2797" w:rsidRPr="004C2962" w:rsidRDefault="005F2797" w:rsidP="000C6DC8">
      <w:pPr>
        <w:pStyle w:val="ListParagraph"/>
        <w:numPr>
          <w:ilvl w:val="0"/>
          <w:numId w:val="29"/>
        </w:numPr>
        <w:rPr>
          <w:rFonts w:eastAsiaTheme="minorEastAsia" w:cs="Arial"/>
          <w:szCs w:val="24"/>
        </w:rPr>
      </w:pPr>
      <w:r w:rsidRPr="004C2962">
        <w:rPr>
          <w:rFonts w:eastAsia="Arial" w:cs="Arial"/>
          <w:szCs w:val="24"/>
        </w:rPr>
        <w:t>The impact on a debtor’s dependants/other household members</w:t>
      </w:r>
    </w:p>
    <w:p w14:paraId="410C0EAC" w14:textId="77777777" w:rsidR="005F2797" w:rsidRPr="004C2962" w:rsidRDefault="005F2797" w:rsidP="000C6DC8">
      <w:pPr>
        <w:pStyle w:val="ListParagraph"/>
        <w:numPr>
          <w:ilvl w:val="0"/>
          <w:numId w:val="29"/>
        </w:numPr>
        <w:rPr>
          <w:rFonts w:eastAsiaTheme="minorEastAsia" w:cs="Arial"/>
          <w:szCs w:val="24"/>
        </w:rPr>
      </w:pPr>
      <w:r w:rsidRPr="004C2962">
        <w:rPr>
          <w:rFonts w:eastAsia="Arial" w:cs="Arial"/>
          <w:szCs w:val="24"/>
        </w:rPr>
        <w:t>Applicability of Non-employment income</w:t>
      </w:r>
    </w:p>
    <w:p w14:paraId="069BC0AB" w14:textId="77777777" w:rsidR="005F2797" w:rsidRPr="004C2962" w:rsidRDefault="005F2797" w:rsidP="000C6DC8">
      <w:pPr>
        <w:pStyle w:val="ListParagraph"/>
        <w:numPr>
          <w:ilvl w:val="0"/>
          <w:numId w:val="29"/>
        </w:numPr>
        <w:rPr>
          <w:rFonts w:eastAsiaTheme="minorEastAsia" w:cs="Arial"/>
          <w:szCs w:val="24"/>
        </w:rPr>
      </w:pPr>
      <w:r w:rsidRPr="004C2962">
        <w:rPr>
          <w:rFonts w:eastAsia="Arial" w:cs="Arial"/>
          <w:szCs w:val="24"/>
        </w:rPr>
        <w:t>Whether the tool was reflective of post debt solution financial position and not a pre-debt solution</w:t>
      </w:r>
    </w:p>
    <w:p w14:paraId="203B0DFB" w14:textId="77777777" w:rsidR="005F2797" w:rsidRPr="004C2962" w:rsidRDefault="005F2797" w:rsidP="000C6DC8">
      <w:pPr>
        <w:pStyle w:val="ListParagraph"/>
        <w:numPr>
          <w:ilvl w:val="0"/>
          <w:numId w:val="29"/>
        </w:numPr>
        <w:rPr>
          <w:rFonts w:eastAsiaTheme="minorEastAsia" w:cs="Arial"/>
          <w:szCs w:val="24"/>
        </w:rPr>
      </w:pPr>
      <w:r w:rsidRPr="004C2962">
        <w:rPr>
          <w:rFonts w:eastAsia="Arial" w:cs="Arial"/>
          <w:szCs w:val="24"/>
        </w:rPr>
        <w:t>Whether the tool adequately reflected additional disability/health needs</w:t>
      </w:r>
    </w:p>
    <w:p w14:paraId="14940FF5" w14:textId="77777777" w:rsidR="005F2797" w:rsidRPr="004C2962" w:rsidRDefault="005F2797" w:rsidP="000C6DC8">
      <w:pPr>
        <w:pStyle w:val="ListParagraph"/>
        <w:numPr>
          <w:ilvl w:val="0"/>
          <w:numId w:val="29"/>
        </w:numPr>
        <w:rPr>
          <w:rFonts w:eastAsiaTheme="minorEastAsia" w:cs="Arial"/>
          <w:szCs w:val="24"/>
        </w:rPr>
      </w:pPr>
      <w:r w:rsidRPr="004C2962">
        <w:rPr>
          <w:rFonts w:eastAsia="Arial" w:cs="Arial"/>
          <w:szCs w:val="24"/>
        </w:rPr>
        <w:t>Whether the tool provided for a reasonable living standard</w:t>
      </w:r>
    </w:p>
    <w:p w14:paraId="0F34DF35" w14:textId="77777777" w:rsidR="005F2797" w:rsidRPr="004C2962" w:rsidRDefault="005F2797" w:rsidP="000C6DC8">
      <w:pPr>
        <w:pStyle w:val="ListParagraph"/>
        <w:numPr>
          <w:ilvl w:val="0"/>
          <w:numId w:val="29"/>
        </w:numPr>
        <w:rPr>
          <w:rFonts w:eastAsiaTheme="minorEastAsia" w:cs="Arial"/>
          <w:szCs w:val="24"/>
        </w:rPr>
      </w:pPr>
      <w:r w:rsidRPr="004C2962">
        <w:rPr>
          <w:rFonts w:eastAsia="Arial" w:cs="Arial"/>
          <w:szCs w:val="24"/>
        </w:rPr>
        <w:t>The consistency level of the assessment and outcome</w:t>
      </w:r>
    </w:p>
    <w:p w14:paraId="7A63A661" w14:textId="46133C1E" w:rsidR="005F2797" w:rsidRPr="004C2962" w:rsidRDefault="005F2797" w:rsidP="000C6DC8">
      <w:pPr>
        <w:pStyle w:val="ListParagraph"/>
        <w:numPr>
          <w:ilvl w:val="0"/>
          <w:numId w:val="29"/>
        </w:numPr>
        <w:rPr>
          <w:rFonts w:eastAsiaTheme="minorEastAsia" w:cs="Arial"/>
          <w:szCs w:val="24"/>
        </w:rPr>
      </w:pPr>
      <w:r w:rsidRPr="004C2962">
        <w:rPr>
          <w:rFonts w:eastAsia="Arial" w:cs="Arial"/>
          <w:szCs w:val="24"/>
        </w:rPr>
        <w:t xml:space="preserve">The extent to which the tool provided future financial resilience </w:t>
      </w:r>
    </w:p>
    <w:p w14:paraId="5BF2C4EF" w14:textId="77777777" w:rsidR="005F2797" w:rsidRPr="004C2962" w:rsidRDefault="005F2797" w:rsidP="000C6DC8">
      <w:pPr>
        <w:pStyle w:val="ListParagraph"/>
        <w:numPr>
          <w:ilvl w:val="0"/>
          <w:numId w:val="29"/>
        </w:numPr>
        <w:rPr>
          <w:rFonts w:eastAsiaTheme="minorEastAsia" w:cs="Arial"/>
          <w:szCs w:val="24"/>
        </w:rPr>
      </w:pPr>
      <w:r w:rsidRPr="004C2962">
        <w:rPr>
          <w:rFonts w:eastAsia="Arial" w:cs="Arial"/>
          <w:szCs w:val="24"/>
        </w:rPr>
        <w:t>The flexibility of the tool for someone with variable/seasonal income and expenditure</w:t>
      </w:r>
    </w:p>
    <w:p w14:paraId="0B79DBAB" w14:textId="77777777" w:rsidR="005F2797" w:rsidRPr="004C2962" w:rsidRDefault="005F2797" w:rsidP="000C6DC8">
      <w:pPr>
        <w:pStyle w:val="ListParagraph"/>
        <w:numPr>
          <w:ilvl w:val="0"/>
          <w:numId w:val="29"/>
        </w:numPr>
        <w:rPr>
          <w:rFonts w:eastAsiaTheme="minorEastAsia" w:cs="Arial"/>
          <w:szCs w:val="24"/>
        </w:rPr>
      </w:pPr>
      <w:r w:rsidRPr="004C2962">
        <w:rPr>
          <w:rFonts w:eastAsia="Arial" w:cs="Arial"/>
          <w:szCs w:val="24"/>
        </w:rPr>
        <w:t>Whether the tool catered for varying expenditure levels in different locations (such as urban and rural)</w:t>
      </w:r>
    </w:p>
    <w:p w14:paraId="3FB4DCCF" w14:textId="0326C4D2" w:rsidR="005F2797" w:rsidRPr="004C2962" w:rsidRDefault="007E1DC0" w:rsidP="000C6DC8">
      <w:pPr>
        <w:rPr>
          <w:rFonts w:cs="Arial"/>
          <w:szCs w:val="24"/>
        </w:rPr>
      </w:pPr>
      <w:r>
        <w:rPr>
          <w:rFonts w:eastAsia="Arial" w:cs="Arial"/>
          <w:szCs w:val="24"/>
        </w:rPr>
        <w:lastRenderedPageBreak/>
        <w:t>3.10</w:t>
      </w:r>
      <w:r>
        <w:rPr>
          <w:rFonts w:eastAsia="Arial" w:cs="Arial"/>
          <w:szCs w:val="24"/>
        </w:rPr>
        <w:tab/>
      </w:r>
      <w:r w:rsidR="005F2797" w:rsidRPr="004C2962">
        <w:rPr>
          <w:rFonts w:eastAsia="Arial" w:cs="Arial"/>
          <w:szCs w:val="24"/>
        </w:rPr>
        <w:t xml:space="preserve">The group assessed both methodologies against each of these criteria using a scoring system (unweighted) to determine which methodology was preferred. From this scoring system and further discussion, the group was able to present its findings on the most appropriate tool according to those criteria. </w:t>
      </w:r>
    </w:p>
    <w:p w14:paraId="2E457C22" w14:textId="64967124" w:rsidR="005F2797" w:rsidRPr="00544291" w:rsidRDefault="00AF5259" w:rsidP="00544291">
      <w:pPr>
        <w:pStyle w:val="Heading2"/>
      </w:pPr>
      <w:bookmarkStart w:id="15" w:name="_Toc100244827"/>
      <w:bookmarkStart w:id="16" w:name="_Toc100245006"/>
      <w:r>
        <w:rPr>
          <w:rFonts w:eastAsia="Arial"/>
        </w:rPr>
        <w:t>Income and Expenditure M</w:t>
      </w:r>
      <w:r w:rsidR="005F2797" w:rsidRPr="004C2962">
        <w:rPr>
          <w:rFonts w:eastAsia="Arial"/>
        </w:rPr>
        <w:t>odel</w:t>
      </w:r>
      <w:bookmarkEnd w:id="15"/>
      <w:bookmarkEnd w:id="16"/>
      <w:r w:rsidR="005F2797" w:rsidRPr="004C2962">
        <w:rPr>
          <w:rFonts w:eastAsia="Arial" w:cs="Arial"/>
          <w:bCs/>
          <w:szCs w:val="24"/>
        </w:rPr>
        <w:t xml:space="preserve"> </w:t>
      </w:r>
    </w:p>
    <w:p w14:paraId="3B32E26D" w14:textId="79F6164F" w:rsidR="005F2797" w:rsidRPr="00544291" w:rsidRDefault="005F2797" w:rsidP="00544291">
      <w:pPr>
        <w:pStyle w:val="Heading3"/>
      </w:pPr>
      <w:r w:rsidRPr="008E2E0E">
        <w:rPr>
          <w:rFonts w:eastAsia="Arial"/>
        </w:rPr>
        <w:t>Background</w:t>
      </w:r>
      <w:r w:rsidRPr="004C2962">
        <w:rPr>
          <w:rFonts w:eastAsia="Arial"/>
        </w:rPr>
        <w:t xml:space="preserve"> </w:t>
      </w:r>
    </w:p>
    <w:p w14:paraId="754B0AAA" w14:textId="6029A81C" w:rsidR="005F2797" w:rsidRPr="004C2962" w:rsidRDefault="007E1DC0" w:rsidP="000C6DC8">
      <w:pPr>
        <w:rPr>
          <w:rFonts w:cs="Arial"/>
          <w:szCs w:val="24"/>
        </w:rPr>
      </w:pPr>
      <w:r>
        <w:rPr>
          <w:rFonts w:eastAsia="Arial" w:cs="Arial"/>
          <w:szCs w:val="24"/>
        </w:rPr>
        <w:t>3.11</w:t>
      </w:r>
      <w:r>
        <w:rPr>
          <w:rFonts w:eastAsia="Arial" w:cs="Arial"/>
          <w:szCs w:val="24"/>
        </w:rPr>
        <w:tab/>
      </w:r>
      <w:r w:rsidR="005F2797" w:rsidRPr="004C2962">
        <w:rPr>
          <w:rFonts w:eastAsia="Arial" w:cs="Arial"/>
          <w:szCs w:val="24"/>
        </w:rPr>
        <w:t xml:space="preserve">An income and expenditure model requires the collection of information on an individual’s income and expenditure – in addition to information relating to household composition and circumstances (such as a single person, a couple, with or without dependents etc.). </w:t>
      </w:r>
    </w:p>
    <w:p w14:paraId="21494B4F" w14:textId="0A8D3169" w:rsidR="005F2797" w:rsidRPr="00544291" w:rsidRDefault="007E1DC0" w:rsidP="000C6DC8">
      <w:pPr>
        <w:rPr>
          <w:rFonts w:eastAsia="Arial" w:cs="Arial"/>
          <w:szCs w:val="24"/>
        </w:rPr>
      </w:pPr>
      <w:r>
        <w:rPr>
          <w:rFonts w:eastAsia="Arial" w:cs="Arial"/>
          <w:szCs w:val="24"/>
        </w:rPr>
        <w:t>3.12</w:t>
      </w:r>
      <w:r>
        <w:rPr>
          <w:rFonts w:eastAsia="Arial" w:cs="Arial"/>
          <w:szCs w:val="24"/>
        </w:rPr>
        <w:tab/>
      </w:r>
      <w:r w:rsidR="005F2797" w:rsidRPr="004C2962">
        <w:rPr>
          <w:rFonts w:eastAsia="Arial" w:cs="Arial"/>
          <w:szCs w:val="24"/>
        </w:rPr>
        <w:t>The two income and expenditure tools currently utilised in the UK are the CFS and the Standard Financial Statement (</w:t>
      </w:r>
      <w:r w:rsidR="00CE4B2F">
        <w:rPr>
          <w:rFonts w:eastAsia="Arial" w:cs="Arial"/>
          <w:szCs w:val="24"/>
        </w:rPr>
        <w:t>“</w:t>
      </w:r>
      <w:r w:rsidR="005F2797" w:rsidRPr="004C2962">
        <w:rPr>
          <w:rFonts w:eastAsia="Arial" w:cs="Arial"/>
          <w:szCs w:val="24"/>
        </w:rPr>
        <w:t>SFS</w:t>
      </w:r>
      <w:r w:rsidR="00CE4B2F">
        <w:rPr>
          <w:rFonts w:eastAsia="Arial" w:cs="Arial"/>
          <w:szCs w:val="24"/>
        </w:rPr>
        <w:t>”</w:t>
      </w:r>
      <w:r w:rsidR="005F2797" w:rsidRPr="004C2962">
        <w:rPr>
          <w:rFonts w:eastAsia="Arial" w:cs="Arial"/>
          <w:szCs w:val="24"/>
        </w:rPr>
        <w:t xml:space="preserve">). Each of these tools groups an individual’s expenditure (such as groceries, school meals) into categories. Each of these categories have an associated ‘spending guideline’ also known as a ‘trigger figure.’ The SFS </w:t>
      </w:r>
      <w:r w:rsidR="0090516F" w:rsidRPr="004C2962">
        <w:rPr>
          <w:rFonts w:eastAsia="Arial" w:cs="Arial"/>
          <w:szCs w:val="24"/>
        </w:rPr>
        <w:t>s</w:t>
      </w:r>
      <w:r w:rsidR="005F2797" w:rsidRPr="004C2962">
        <w:rPr>
          <w:rFonts w:eastAsia="Arial" w:cs="Arial"/>
          <w:szCs w:val="24"/>
        </w:rPr>
        <w:t>pending guidelines are statistically derived measures of real life expenditure. The figures are used to understand how a customer's expenditure compares to the typical expenditure of their peers recognising that what is ‘reasonable’ will be unique to each customer</w:t>
      </w:r>
      <w:r w:rsidR="00D37120">
        <w:rPr>
          <w:rFonts w:eastAsia="Arial" w:cs="Arial"/>
          <w:szCs w:val="24"/>
        </w:rPr>
        <w:t>’</w:t>
      </w:r>
      <w:r w:rsidR="005F2797" w:rsidRPr="004C2962">
        <w:rPr>
          <w:rFonts w:eastAsia="Arial" w:cs="Arial"/>
          <w:szCs w:val="24"/>
        </w:rPr>
        <w:t>s circumstances. Where the expenditure is lower than the guideline it should be automatically accepted and where they are higher than the spending guidelines this should prompt advisers to include notes (and where feasible evidence) on the customer</w:t>
      </w:r>
      <w:r w:rsidR="00D37120">
        <w:rPr>
          <w:rFonts w:eastAsia="Arial" w:cs="Arial"/>
          <w:szCs w:val="24"/>
        </w:rPr>
        <w:t>’</w:t>
      </w:r>
      <w:r w:rsidR="005F2797" w:rsidRPr="004C2962">
        <w:rPr>
          <w:rFonts w:eastAsia="Arial" w:cs="Arial"/>
          <w:szCs w:val="24"/>
        </w:rPr>
        <w:t xml:space="preserve">s circumstances and why this is suitable in their specific circumstances. The CFS ‘trigger figures’ are pre-agreed levels for certain areas of discretionary household expenditure which help identify levels of monthly expenditure deemed reasonable.   </w:t>
      </w:r>
    </w:p>
    <w:p w14:paraId="4C1F6C9D" w14:textId="5BB74113" w:rsidR="005F2797" w:rsidRPr="004C2962" w:rsidRDefault="007E1DC0" w:rsidP="000C6DC8">
      <w:pPr>
        <w:rPr>
          <w:rFonts w:cs="Arial"/>
          <w:szCs w:val="24"/>
        </w:rPr>
      </w:pPr>
      <w:r>
        <w:rPr>
          <w:rFonts w:eastAsia="Arial" w:cs="Arial"/>
          <w:szCs w:val="24"/>
        </w:rPr>
        <w:t>3.13</w:t>
      </w:r>
      <w:r>
        <w:rPr>
          <w:rFonts w:eastAsia="Arial" w:cs="Arial"/>
          <w:szCs w:val="24"/>
        </w:rPr>
        <w:tab/>
      </w:r>
      <w:r w:rsidR="005F2797" w:rsidRPr="004C2962">
        <w:rPr>
          <w:rFonts w:eastAsia="Arial" w:cs="Arial"/>
          <w:szCs w:val="24"/>
        </w:rPr>
        <w:t xml:space="preserve">The current system adopted in Scotland utilising the CFT requires evidence to support an individual’s expenditure in excess of a ‘trigger figure’ level – where that evidence is provided the expenditure will generally be accepted. If no evidence or explanation is available, the expenditure will generally be capped at the ‘trigger </w:t>
      </w:r>
      <w:r w:rsidR="005F2797" w:rsidRPr="004C2962">
        <w:rPr>
          <w:rFonts w:eastAsia="Arial" w:cs="Arial"/>
          <w:szCs w:val="24"/>
        </w:rPr>
        <w:lastRenderedPageBreak/>
        <w:t>figure’</w:t>
      </w:r>
      <w:r w:rsidR="00D37120">
        <w:rPr>
          <w:rFonts w:eastAsia="Arial" w:cs="Arial"/>
          <w:szCs w:val="24"/>
        </w:rPr>
        <w:t>.</w:t>
      </w:r>
      <w:r w:rsidR="005F2797" w:rsidRPr="004C2962">
        <w:rPr>
          <w:rFonts w:eastAsia="Arial" w:cs="Arial"/>
          <w:szCs w:val="24"/>
        </w:rPr>
        <w:t xml:space="preserve"> If the expenditure is lower than the ‘trigger figure’</w:t>
      </w:r>
      <w:r w:rsidR="00D37120">
        <w:rPr>
          <w:rFonts w:eastAsia="Arial" w:cs="Arial"/>
          <w:szCs w:val="24"/>
        </w:rPr>
        <w:t>,</w:t>
      </w:r>
      <w:r w:rsidR="005F2797" w:rsidRPr="004C2962">
        <w:rPr>
          <w:rFonts w:eastAsia="Arial" w:cs="Arial"/>
          <w:szCs w:val="24"/>
        </w:rPr>
        <w:t xml:space="preserve"> it will be accepted with no supporting evidence. </w:t>
      </w:r>
    </w:p>
    <w:p w14:paraId="6915AEA8" w14:textId="6E4B9C57" w:rsidR="005F2797" w:rsidRPr="004C2962" w:rsidRDefault="007E1DC0" w:rsidP="000C6DC8">
      <w:pPr>
        <w:rPr>
          <w:rFonts w:cs="Arial"/>
          <w:szCs w:val="24"/>
        </w:rPr>
      </w:pPr>
      <w:r>
        <w:rPr>
          <w:rFonts w:eastAsia="Arial" w:cs="Arial"/>
          <w:szCs w:val="24"/>
        </w:rPr>
        <w:t>3.14</w:t>
      </w:r>
      <w:r>
        <w:rPr>
          <w:rFonts w:eastAsia="Arial" w:cs="Arial"/>
          <w:szCs w:val="24"/>
        </w:rPr>
        <w:tab/>
      </w:r>
      <w:r w:rsidR="005F2797" w:rsidRPr="004C2962">
        <w:rPr>
          <w:rFonts w:eastAsia="Arial" w:cs="Arial"/>
          <w:szCs w:val="24"/>
        </w:rPr>
        <w:t>In addition to the categories where spending policies are in place</w:t>
      </w:r>
      <w:r w:rsidR="00D37120">
        <w:rPr>
          <w:rFonts w:eastAsia="Arial" w:cs="Arial"/>
          <w:szCs w:val="24"/>
        </w:rPr>
        <w:t>,</w:t>
      </w:r>
      <w:r w:rsidR="005F2797" w:rsidRPr="004C2962">
        <w:rPr>
          <w:rFonts w:eastAsia="Arial" w:cs="Arial"/>
          <w:szCs w:val="24"/>
        </w:rPr>
        <w:t xml:space="preserve"> both the CFS and SFS include expenditure items which do not have any measures of what is reasonable or typical, as these items are considered essential. These include rent/mortgage payments, council tax liability and utility costs. The main difference between the CFS and SFS in this respect is that the CFS has a </w:t>
      </w:r>
      <w:r w:rsidR="00D37120">
        <w:rPr>
          <w:rFonts w:eastAsia="Arial" w:cs="Arial"/>
          <w:szCs w:val="24"/>
        </w:rPr>
        <w:t>‘</w:t>
      </w:r>
      <w:r w:rsidR="005F2797" w:rsidRPr="004C2962">
        <w:rPr>
          <w:rFonts w:eastAsia="Arial" w:cs="Arial"/>
          <w:szCs w:val="24"/>
        </w:rPr>
        <w:t>trigger figure</w:t>
      </w:r>
      <w:r w:rsidR="00D37120">
        <w:rPr>
          <w:rFonts w:eastAsia="Arial" w:cs="Arial"/>
          <w:szCs w:val="24"/>
        </w:rPr>
        <w:t>’</w:t>
      </w:r>
      <w:r w:rsidR="005F2797" w:rsidRPr="004C2962">
        <w:rPr>
          <w:rFonts w:eastAsia="Arial" w:cs="Arial"/>
          <w:szCs w:val="24"/>
        </w:rPr>
        <w:t xml:space="preserve"> for travel costs where the SFS does not. The current approach in Scotland requires the expenditure in these non-triggered categories to be supported by evidence.</w:t>
      </w:r>
    </w:p>
    <w:p w14:paraId="76351C73" w14:textId="44CD9E0C" w:rsidR="005F2797" w:rsidRPr="00544291" w:rsidRDefault="005F2797" w:rsidP="00544291">
      <w:pPr>
        <w:pStyle w:val="Heading3"/>
      </w:pPr>
      <w:r w:rsidRPr="008E2E0E">
        <w:rPr>
          <w:rFonts w:eastAsia="Arial"/>
        </w:rPr>
        <w:t>Discussion</w:t>
      </w:r>
      <w:r w:rsidRPr="004C2962">
        <w:rPr>
          <w:rFonts w:eastAsia="Arial"/>
          <w:bCs/>
        </w:rPr>
        <w:t xml:space="preserve"> </w:t>
      </w:r>
    </w:p>
    <w:p w14:paraId="5CBEC960" w14:textId="68F967FB" w:rsidR="005F2797" w:rsidRPr="005C02F4" w:rsidRDefault="007E1DC0" w:rsidP="000C6DC8">
      <w:pPr>
        <w:rPr>
          <w:rFonts w:eastAsia="Arial" w:cs="Arial"/>
          <w:szCs w:val="24"/>
        </w:rPr>
      </w:pPr>
      <w:r>
        <w:rPr>
          <w:rFonts w:eastAsia="Arial" w:cs="Arial"/>
          <w:szCs w:val="24"/>
        </w:rPr>
        <w:t>3.15</w:t>
      </w:r>
      <w:r>
        <w:rPr>
          <w:rFonts w:eastAsia="Arial" w:cs="Arial"/>
          <w:szCs w:val="24"/>
        </w:rPr>
        <w:tab/>
      </w:r>
      <w:r w:rsidR="005F2797" w:rsidRPr="004C2962">
        <w:rPr>
          <w:rFonts w:eastAsia="Arial" w:cs="Arial"/>
          <w:szCs w:val="24"/>
        </w:rPr>
        <w:t>The group considers that an income and expenditure tool provides the most detailed picture of the debtor’s circumstances and is flexible enough to take account of people living in various locations and under different circumstances – e.g. urban and rural, vulnerabilities or complex family arrangements. The group also believe it provides a level of (but not absolute) consistency where all parties using the tool are required to follow the appropriate guidance.</w:t>
      </w:r>
    </w:p>
    <w:p w14:paraId="79097440" w14:textId="16EFD4F4" w:rsidR="00855CDD" w:rsidRPr="00544291" w:rsidRDefault="007E1DC0" w:rsidP="000C6DC8">
      <w:pPr>
        <w:rPr>
          <w:rFonts w:eastAsia="Arial" w:cs="Arial"/>
          <w:szCs w:val="24"/>
        </w:rPr>
      </w:pPr>
      <w:r>
        <w:rPr>
          <w:rFonts w:eastAsia="Arial" w:cs="Arial"/>
          <w:szCs w:val="24"/>
        </w:rPr>
        <w:t>3.16</w:t>
      </w:r>
      <w:r>
        <w:rPr>
          <w:rFonts w:eastAsia="Arial" w:cs="Arial"/>
          <w:szCs w:val="24"/>
        </w:rPr>
        <w:tab/>
      </w:r>
      <w:r w:rsidR="005F2797" w:rsidRPr="004C2962">
        <w:rPr>
          <w:rFonts w:eastAsia="Arial" w:cs="Arial"/>
          <w:szCs w:val="24"/>
        </w:rPr>
        <w:t>However, the group highlighted that by breaking down the expenditure amounts and obtaining a significant level of information about individual circumstances, it is difficult to avoid judgements being placed on the debtor’s lifestyle and how they spend their money. There are differing views on the evidence requirement associated with income and expenditure tools. Some stakeholders believe the requirements for evidence to support the income and expenditure assessment are overly burdensome, although the group recognised that rather than being the requirement of the specific tool, the evidence requirement is more closely associated to the operational policy adopted in Scotland.</w:t>
      </w:r>
      <w:r w:rsidR="008E2E0E">
        <w:rPr>
          <w:rFonts w:eastAsia="Arial" w:cs="Arial"/>
          <w:szCs w:val="24"/>
        </w:rPr>
        <w:t xml:space="preserve"> </w:t>
      </w:r>
      <w:r w:rsidR="005F2797" w:rsidRPr="004C2962">
        <w:rPr>
          <w:rFonts w:eastAsia="Arial" w:cs="Arial"/>
          <w:szCs w:val="24"/>
        </w:rPr>
        <w:t xml:space="preserve">Others noted that it is essential to gain an accurate picture of the circumstances and offer the most complete and appropriate advice.  </w:t>
      </w:r>
    </w:p>
    <w:p w14:paraId="46C7E503" w14:textId="3A4C4A70" w:rsidR="00CE4B2F" w:rsidRPr="00544291" w:rsidRDefault="007E1DC0" w:rsidP="000C6DC8">
      <w:pPr>
        <w:rPr>
          <w:rFonts w:eastAsia="Arial" w:cs="Arial"/>
          <w:szCs w:val="24"/>
        </w:rPr>
      </w:pPr>
      <w:r>
        <w:rPr>
          <w:rFonts w:eastAsia="Arial" w:cs="Arial"/>
          <w:szCs w:val="24"/>
        </w:rPr>
        <w:t>3.17</w:t>
      </w:r>
      <w:r>
        <w:rPr>
          <w:rFonts w:eastAsia="Arial" w:cs="Arial"/>
          <w:szCs w:val="24"/>
        </w:rPr>
        <w:tab/>
      </w:r>
      <w:r w:rsidR="005F2797" w:rsidRPr="004C2962">
        <w:rPr>
          <w:rFonts w:eastAsia="Arial" w:cs="Arial"/>
          <w:szCs w:val="24"/>
        </w:rPr>
        <w:t xml:space="preserve">There was consensus amongst the group that the current Scottish approach does not provide sufficient financial resilience due to the full surplus income being </w:t>
      </w:r>
      <w:r w:rsidR="005F2797" w:rsidRPr="004C2962">
        <w:rPr>
          <w:rFonts w:eastAsia="Arial" w:cs="Arial"/>
          <w:szCs w:val="24"/>
        </w:rPr>
        <w:lastRenderedPageBreak/>
        <w:t xml:space="preserve">taken as a contribution. The restrictive approach on surplus income also impacts on the incentives for an individual to work overtime or seek opportunities for increased earnings. </w:t>
      </w:r>
    </w:p>
    <w:p w14:paraId="46C5A337" w14:textId="113D22CA" w:rsidR="005F2797" w:rsidRPr="004C2962" w:rsidRDefault="007E1DC0" w:rsidP="000C6DC8">
      <w:pPr>
        <w:rPr>
          <w:rFonts w:cs="Arial"/>
          <w:szCs w:val="24"/>
        </w:rPr>
      </w:pPr>
      <w:r>
        <w:rPr>
          <w:rFonts w:eastAsia="Arial" w:cs="Arial"/>
          <w:szCs w:val="24"/>
        </w:rPr>
        <w:t>3.18</w:t>
      </w:r>
      <w:r>
        <w:rPr>
          <w:rFonts w:eastAsia="Arial" w:cs="Arial"/>
          <w:szCs w:val="24"/>
        </w:rPr>
        <w:tab/>
      </w:r>
      <w:r w:rsidR="005F2797" w:rsidRPr="004C2962">
        <w:rPr>
          <w:rFonts w:eastAsia="Arial" w:cs="Arial"/>
          <w:szCs w:val="24"/>
        </w:rPr>
        <w:t xml:space="preserve">The group considered an alternative approach to the full surplus being taken as a contribution. They identified two possible options: </w:t>
      </w:r>
    </w:p>
    <w:p w14:paraId="271344A2" w14:textId="7334EFF0" w:rsidR="005F2797" w:rsidRPr="004C2962" w:rsidRDefault="005F2797" w:rsidP="000C6DC8">
      <w:pPr>
        <w:pStyle w:val="ListParagraph"/>
        <w:numPr>
          <w:ilvl w:val="0"/>
          <w:numId w:val="28"/>
        </w:numPr>
        <w:rPr>
          <w:rFonts w:eastAsiaTheme="minorEastAsia" w:cs="Arial"/>
          <w:szCs w:val="24"/>
        </w:rPr>
      </w:pPr>
      <w:r w:rsidRPr="004C2962">
        <w:rPr>
          <w:rFonts w:eastAsia="Arial" w:cs="Arial"/>
          <w:szCs w:val="24"/>
        </w:rPr>
        <w:t>a percentage of the surplus income is taken as a contribution (e.g</w:t>
      </w:r>
      <w:r w:rsidR="00CE4B2F">
        <w:rPr>
          <w:rFonts w:eastAsia="Arial" w:cs="Arial"/>
          <w:szCs w:val="24"/>
        </w:rPr>
        <w:t>.</w:t>
      </w:r>
      <w:r w:rsidRPr="004C2962">
        <w:rPr>
          <w:rFonts w:eastAsia="Arial" w:cs="Arial"/>
          <w:szCs w:val="24"/>
        </w:rPr>
        <w:t xml:space="preserve"> 50%); or</w:t>
      </w:r>
    </w:p>
    <w:p w14:paraId="187438A1" w14:textId="79666FDB" w:rsidR="005F2797" w:rsidRPr="00544291" w:rsidRDefault="005F2797" w:rsidP="000C6DC8">
      <w:pPr>
        <w:pStyle w:val="ListParagraph"/>
        <w:numPr>
          <w:ilvl w:val="0"/>
          <w:numId w:val="28"/>
        </w:numPr>
        <w:rPr>
          <w:rFonts w:eastAsiaTheme="minorEastAsia" w:cs="Arial"/>
          <w:szCs w:val="24"/>
        </w:rPr>
      </w:pPr>
      <w:r w:rsidRPr="004C2962">
        <w:rPr>
          <w:rFonts w:eastAsia="Arial" w:cs="Arial"/>
          <w:szCs w:val="24"/>
        </w:rPr>
        <w:t>a set figure is automatically excluded from the surplus and the remaining amount is taken as a contribution (e.g. the first £75 excluded)</w:t>
      </w:r>
      <w:r w:rsidR="00CE4B2F">
        <w:rPr>
          <w:rFonts w:eastAsia="Arial" w:cs="Arial"/>
          <w:szCs w:val="24"/>
        </w:rPr>
        <w:t>.</w:t>
      </w:r>
      <w:r w:rsidRPr="00544291">
        <w:rPr>
          <w:rFonts w:eastAsia="Arial" w:cs="Arial"/>
          <w:szCs w:val="24"/>
        </w:rPr>
        <w:t xml:space="preserve"> </w:t>
      </w:r>
    </w:p>
    <w:p w14:paraId="399BBBF6" w14:textId="2BFA6C39" w:rsidR="005F2797" w:rsidRPr="004C2962" w:rsidRDefault="007E1DC0" w:rsidP="000C6DC8">
      <w:pPr>
        <w:rPr>
          <w:rFonts w:cs="Arial"/>
          <w:szCs w:val="24"/>
        </w:rPr>
      </w:pPr>
      <w:r>
        <w:rPr>
          <w:rFonts w:eastAsia="Arial" w:cs="Arial"/>
          <w:szCs w:val="24"/>
        </w:rPr>
        <w:t>3.19</w:t>
      </w:r>
      <w:r>
        <w:rPr>
          <w:rFonts w:eastAsia="Arial" w:cs="Arial"/>
          <w:szCs w:val="24"/>
        </w:rPr>
        <w:tab/>
      </w:r>
      <w:r w:rsidR="005F2797" w:rsidRPr="004C2962">
        <w:rPr>
          <w:rFonts w:eastAsia="Arial" w:cs="Arial"/>
          <w:szCs w:val="24"/>
        </w:rPr>
        <w:t xml:space="preserve">The group was aware of the positives and negatives to both approaches. Having a set figure excluded provides a clear and consistent approach, however, it would not incentivise someone to work overtime as the additional income gained beyond that initial excluded amount would be paid as a contribution. With the percentage contribution option, the individual would be allowed to retain more of the income they gained from additional hours worked. It is recognised that this option may not allow the consistency offered by the fixed amount excluded option.  </w:t>
      </w:r>
    </w:p>
    <w:p w14:paraId="26869A25" w14:textId="630944D4" w:rsidR="005F2797" w:rsidRPr="004C2962" w:rsidRDefault="007E1DC0" w:rsidP="000C6DC8">
      <w:pPr>
        <w:rPr>
          <w:rFonts w:cs="Arial"/>
          <w:szCs w:val="24"/>
        </w:rPr>
      </w:pPr>
      <w:r>
        <w:rPr>
          <w:rFonts w:eastAsia="Arial" w:cs="Arial"/>
          <w:szCs w:val="24"/>
        </w:rPr>
        <w:t>3.20</w:t>
      </w:r>
      <w:r>
        <w:rPr>
          <w:rFonts w:eastAsia="Arial" w:cs="Arial"/>
          <w:szCs w:val="24"/>
        </w:rPr>
        <w:tab/>
      </w:r>
      <w:r w:rsidR="005F2797" w:rsidRPr="004C2962">
        <w:rPr>
          <w:rFonts w:eastAsia="Arial" w:cs="Arial"/>
          <w:szCs w:val="24"/>
        </w:rPr>
        <w:t>While the CFS and the SFS have a similar structure, there are differences in approach and maintenance of the tools. It was highlighted that the CFS is now a legacy tool which is maintained with the primary purposes of uprating the spending guidelines for use in Scotland. In contrast, the SFS is regularly monitored and analysed for improvements by the Money and Pensions Service. This raised concerns among the group as they recognised economic circumstances change and, as a result, people’s lifestyles and spending habits may alter. An example given was the use of electric cars which could impact on the expenditure categories – moving from travel to utilities as an individual will increase use of their domestic electricity to charge the car rather than paying for fuel. Such developments may not be considered in such depth for the CFS and this could see the SFS better placed to align with economic change.</w:t>
      </w:r>
    </w:p>
    <w:p w14:paraId="2F5871FE" w14:textId="2EF134E5" w:rsidR="005F2797" w:rsidRPr="00544291" w:rsidRDefault="007E1DC0" w:rsidP="000C6DC8">
      <w:pPr>
        <w:rPr>
          <w:rFonts w:eastAsia="Arial" w:cs="Arial"/>
          <w:szCs w:val="24"/>
        </w:rPr>
      </w:pPr>
      <w:r>
        <w:rPr>
          <w:rFonts w:eastAsia="Arial" w:cs="Arial"/>
          <w:szCs w:val="24"/>
        </w:rPr>
        <w:lastRenderedPageBreak/>
        <w:t>3.21</w:t>
      </w:r>
      <w:r>
        <w:rPr>
          <w:rFonts w:eastAsia="Arial" w:cs="Arial"/>
          <w:szCs w:val="24"/>
        </w:rPr>
        <w:tab/>
      </w:r>
      <w:r w:rsidR="005F2797" w:rsidRPr="004C2962">
        <w:rPr>
          <w:rFonts w:eastAsia="Arial" w:cs="Arial"/>
          <w:szCs w:val="24"/>
        </w:rPr>
        <w:t xml:space="preserve">While recognising the issue with current evidence requirements for the CFT, the group also highlighted the need to ensure there would not be greater evidence requirements should the SFS be adopted. In particular, the travel category no longer having a spending guideline should not mean that all customers have to evidence and explain all travel expenditure as this would be incredibly burdensome to clients and advisers.    </w:t>
      </w:r>
    </w:p>
    <w:p w14:paraId="4EC8AC22" w14:textId="1647FA94" w:rsidR="005F2797" w:rsidRPr="00544291" w:rsidRDefault="00AF5259" w:rsidP="00544291">
      <w:pPr>
        <w:pStyle w:val="Heading2"/>
      </w:pPr>
      <w:bookmarkStart w:id="17" w:name="_Toc100244828"/>
      <w:bookmarkStart w:id="18" w:name="_Toc100245007"/>
      <w:r>
        <w:rPr>
          <w:rFonts w:eastAsia="Arial"/>
        </w:rPr>
        <w:t>Income Based M</w:t>
      </w:r>
      <w:r w:rsidR="005F2797" w:rsidRPr="004C2962">
        <w:rPr>
          <w:rFonts w:eastAsia="Arial"/>
        </w:rPr>
        <w:t>odel</w:t>
      </w:r>
      <w:bookmarkEnd w:id="17"/>
      <w:bookmarkEnd w:id="18"/>
      <w:r w:rsidR="005F2797" w:rsidRPr="004C2962">
        <w:rPr>
          <w:rFonts w:eastAsia="Arial" w:cs="Arial"/>
          <w:bCs/>
          <w:szCs w:val="24"/>
        </w:rPr>
        <w:t xml:space="preserve"> </w:t>
      </w:r>
    </w:p>
    <w:p w14:paraId="72ED4A00" w14:textId="0A5027D8" w:rsidR="005F2797" w:rsidRPr="00544291" w:rsidRDefault="005F2797" w:rsidP="00544291">
      <w:pPr>
        <w:pStyle w:val="Heading3"/>
      </w:pPr>
      <w:r w:rsidRPr="008E2E0E">
        <w:rPr>
          <w:rFonts w:eastAsia="Arial"/>
        </w:rPr>
        <w:t>Background</w:t>
      </w:r>
      <w:r w:rsidRPr="004C2962">
        <w:rPr>
          <w:rFonts w:eastAsia="Arial"/>
        </w:rPr>
        <w:t xml:space="preserve"> </w:t>
      </w:r>
    </w:p>
    <w:p w14:paraId="7FA4AC4A" w14:textId="0D48EDAD" w:rsidR="005F2797" w:rsidRPr="004C2962" w:rsidRDefault="007E1DC0" w:rsidP="000C6DC8">
      <w:pPr>
        <w:rPr>
          <w:rFonts w:cs="Arial"/>
          <w:szCs w:val="24"/>
        </w:rPr>
      </w:pPr>
      <w:r>
        <w:rPr>
          <w:rFonts w:eastAsia="Arial" w:cs="Arial"/>
          <w:szCs w:val="24"/>
        </w:rPr>
        <w:t>3.22</w:t>
      </w:r>
      <w:r>
        <w:rPr>
          <w:rFonts w:eastAsia="Arial" w:cs="Arial"/>
          <w:szCs w:val="24"/>
        </w:rPr>
        <w:tab/>
      </w:r>
      <w:r w:rsidR="005F2797" w:rsidRPr="004C2962">
        <w:rPr>
          <w:rFonts w:eastAsia="Arial" w:cs="Arial"/>
          <w:szCs w:val="24"/>
        </w:rPr>
        <w:t>An income based model requires solely the ingathering of information on the debtor’s income and their household circumstances (e.g. single person, couple, with/without dependents etc.). There is no requirement to assimilate detailed information on the individual’s expenditure.</w:t>
      </w:r>
    </w:p>
    <w:p w14:paraId="2311C0E1" w14:textId="2FE892E1" w:rsidR="005F2797" w:rsidRPr="004C2962" w:rsidRDefault="007E1DC0" w:rsidP="000C6DC8">
      <w:pPr>
        <w:rPr>
          <w:rFonts w:cs="Arial"/>
          <w:szCs w:val="24"/>
        </w:rPr>
      </w:pPr>
      <w:r>
        <w:rPr>
          <w:rFonts w:eastAsia="Arial" w:cs="Arial"/>
          <w:szCs w:val="24"/>
        </w:rPr>
        <w:t>3.23</w:t>
      </w:r>
      <w:r>
        <w:rPr>
          <w:rFonts w:eastAsia="Arial" w:cs="Arial"/>
          <w:szCs w:val="24"/>
        </w:rPr>
        <w:tab/>
      </w:r>
      <w:r w:rsidR="005F2797" w:rsidRPr="004C2962">
        <w:rPr>
          <w:rFonts w:eastAsia="Arial" w:cs="Arial"/>
          <w:szCs w:val="24"/>
        </w:rPr>
        <w:t>This methodology is underpinned by the fixing of a minimum income for an individual - dependent upon their household situation. Any income the individual receives above that set amount would be considered as surplus income.</w:t>
      </w:r>
    </w:p>
    <w:p w14:paraId="465502AE" w14:textId="2D92B7CA" w:rsidR="005F2797" w:rsidRPr="004C2962" w:rsidRDefault="007E1DC0" w:rsidP="000C6DC8">
      <w:pPr>
        <w:rPr>
          <w:rFonts w:cs="Arial"/>
          <w:szCs w:val="24"/>
        </w:rPr>
      </w:pPr>
      <w:r>
        <w:rPr>
          <w:rFonts w:eastAsia="Arial" w:cs="Arial"/>
          <w:szCs w:val="24"/>
        </w:rPr>
        <w:t>3.24</w:t>
      </w:r>
      <w:r>
        <w:rPr>
          <w:rFonts w:eastAsia="Arial" w:cs="Arial"/>
          <w:szCs w:val="24"/>
        </w:rPr>
        <w:tab/>
      </w:r>
      <w:r w:rsidR="005F2797" w:rsidRPr="004C2962">
        <w:rPr>
          <w:rFonts w:eastAsia="Arial" w:cs="Arial"/>
          <w:szCs w:val="24"/>
        </w:rPr>
        <w:t xml:space="preserve">There are currently several other countries who have adopted this methodology. The group considered the tools used in Australia, Canada and the Republic of Ireland.   </w:t>
      </w:r>
    </w:p>
    <w:p w14:paraId="3B4B505B" w14:textId="174B0DC7" w:rsidR="005F2797" w:rsidRPr="00544291" w:rsidRDefault="007E1DC0" w:rsidP="000C6DC8">
      <w:pPr>
        <w:rPr>
          <w:rFonts w:cs="Arial"/>
          <w:szCs w:val="24"/>
        </w:rPr>
      </w:pPr>
      <w:r>
        <w:rPr>
          <w:rFonts w:eastAsia="Arial" w:cs="Arial"/>
          <w:szCs w:val="24"/>
        </w:rPr>
        <w:t>3.25</w:t>
      </w:r>
      <w:r>
        <w:rPr>
          <w:rFonts w:eastAsia="Arial" w:cs="Arial"/>
          <w:szCs w:val="24"/>
        </w:rPr>
        <w:tab/>
      </w:r>
      <w:r w:rsidR="005F2797" w:rsidRPr="004C2962">
        <w:rPr>
          <w:rFonts w:eastAsia="Arial" w:cs="Arial"/>
          <w:szCs w:val="24"/>
        </w:rPr>
        <w:t xml:space="preserve">Looking at the Australian model, if the individual earns over the income set amount they'll be required to make compulsory payments (also called income contributions). The amount they may need to pay depends on their income and how many dependants they have. </w:t>
      </w:r>
    </w:p>
    <w:p w14:paraId="3B98D785" w14:textId="02D2A376" w:rsidR="005F2797" w:rsidRPr="004C2962" w:rsidRDefault="007E1DC0" w:rsidP="000C6DC8">
      <w:pPr>
        <w:rPr>
          <w:rFonts w:cs="Arial"/>
          <w:szCs w:val="24"/>
        </w:rPr>
      </w:pPr>
      <w:r>
        <w:rPr>
          <w:rFonts w:eastAsia="Arial" w:cs="Arial"/>
          <w:szCs w:val="24"/>
        </w:rPr>
        <w:t>3.26</w:t>
      </w:r>
      <w:r>
        <w:rPr>
          <w:rFonts w:eastAsia="Arial" w:cs="Arial"/>
          <w:szCs w:val="24"/>
        </w:rPr>
        <w:tab/>
      </w:r>
      <w:r w:rsidR="005F2797" w:rsidRPr="004C2962">
        <w:rPr>
          <w:rFonts w:eastAsia="Arial" w:cs="Arial"/>
          <w:szCs w:val="24"/>
        </w:rPr>
        <w:t>Compulsory payments are fixed at 50% of the amount earned above the income threshold – in accordance with the number of dependents.</w:t>
      </w:r>
    </w:p>
    <w:p w14:paraId="5C1CE196" w14:textId="46DA7444" w:rsidR="005F2797" w:rsidRPr="004C2962" w:rsidRDefault="007E1DC0" w:rsidP="000C6DC8">
      <w:pPr>
        <w:rPr>
          <w:rFonts w:cs="Arial"/>
          <w:szCs w:val="24"/>
        </w:rPr>
      </w:pPr>
      <w:r>
        <w:rPr>
          <w:rFonts w:eastAsia="Arial" w:cs="Arial"/>
          <w:szCs w:val="24"/>
        </w:rPr>
        <w:t>3.27</w:t>
      </w:r>
      <w:r>
        <w:rPr>
          <w:rFonts w:eastAsia="Arial" w:cs="Arial"/>
          <w:szCs w:val="24"/>
        </w:rPr>
        <w:tab/>
      </w:r>
      <w:r w:rsidR="005F2797" w:rsidRPr="004C2962">
        <w:rPr>
          <w:rFonts w:eastAsia="Arial" w:cs="Arial"/>
          <w:szCs w:val="24"/>
        </w:rPr>
        <w:t xml:space="preserve">The Canadian and Irish models adopt a similar approach, albeit with variable dependent criteria and fixed income levels. The Irish model requires payment of the </w:t>
      </w:r>
      <w:r w:rsidR="005F2797" w:rsidRPr="004C2962">
        <w:rPr>
          <w:rFonts w:eastAsia="Arial" w:cs="Arial"/>
          <w:szCs w:val="24"/>
        </w:rPr>
        <w:lastRenderedPageBreak/>
        <w:t xml:space="preserve">full surplus as a contribution whereas the Canadian approach mirrors the 50% surplus contribution adopted in Australia. </w:t>
      </w:r>
    </w:p>
    <w:p w14:paraId="38A6C1C2" w14:textId="220850DC" w:rsidR="005F2797" w:rsidRPr="00544291" w:rsidRDefault="005F2797" w:rsidP="00544291">
      <w:pPr>
        <w:pStyle w:val="Heading3"/>
      </w:pPr>
      <w:r w:rsidRPr="008E2E0E">
        <w:rPr>
          <w:rFonts w:eastAsia="Arial"/>
        </w:rPr>
        <w:t>Discussion</w:t>
      </w:r>
      <w:r w:rsidRPr="004C2962">
        <w:rPr>
          <w:rFonts w:eastAsia="Arial"/>
        </w:rPr>
        <w:t xml:space="preserve"> </w:t>
      </w:r>
    </w:p>
    <w:p w14:paraId="499AF087" w14:textId="0074C48B" w:rsidR="005F2797" w:rsidRPr="004C2962" w:rsidRDefault="007E1DC0" w:rsidP="000C6DC8">
      <w:pPr>
        <w:rPr>
          <w:rFonts w:cs="Arial"/>
          <w:szCs w:val="24"/>
        </w:rPr>
      </w:pPr>
      <w:r>
        <w:rPr>
          <w:rFonts w:eastAsia="Arial" w:cs="Arial"/>
          <w:szCs w:val="24"/>
        </w:rPr>
        <w:t>3.28</w:t>
      </w:r>
      <w:r>
        <w:rPr>
          <w:rFonts w:eastAsia="Arial" w:cs="Arial"/>
          <w:szCs w:val="24"/>
        </w:rPr>
        <w:tab/>
      </w:r>
      <w:r w:rsidR="005F2797" w:rsidRPr="004C2962">
        <w:rPr>
          <w:rFonts w:eastAsia="Arial" w:cs="Arial"/>
          <w:szCs w:val="24"/>
        </w:rPr>
        <w:t xml:space="preserve">The majority of the group believe there is administrative efficiency in this process through not having to obtain supporting evidence for individual items of expenditure. In addition, there is no judgement on the person’s lifestyle as they are not required to provide full details of their expenses.  </w:t>
      </w:r>
    </w:p>
    <w:p w14:paraId="1D3AE130" w14:textId="340CAF85" w:rsidR="005F2797" w:rsidRPr="005C02F4" w:rsidRDefault="007E1DC0" w:rsidP="000C6DC8">
      <w:pPr>
        <w:rPr>
          <w:rFonts w:eastAsia="Arial" w:cs="Arial"/>
          <w:szCs w:val="24"/>
        </w:rPr>
      </w:pPr>
      <w:r>
        <w:rPr>
          <w:rFonts w:eastAsia="Arial" w:cs="Arial"/>
          <w:szCs w:val="24"/>
        </w:rPr>
        <w:t>3.29</w:t>
      </w:r>
      <w:r>
        <w:rPr>
          <w:rFonts w:eastAsia="Arial" w:cs="Arial"/>
          <w:szCs w:val="24"/>
        </w:rPr>
        <w:tab/>
      </w:r>
      <w:r w:rsidR="005F2797" w:rsidRPr="004C2962">
        <w:rPr>
          <w:rFonts w:eastAsia="Arial" w:cs="Arial"/>
          <w:szCs w:val="24"/>
        </w:rPr>
        <w:t xml:space="preserve">The group recognise the opportunity for increased consistency associated with this methodology as it is solely based on the person’s income and would be a banded system. However, there would be less flexibility to take account of individual’s specific circumstances where exceptional costs might be incurred beyond those envisaged in common parameters. </w:t>
      </w:r>
    </w:p>
    <w:p w14:paraId="346D6812" w14:textId="1FD359F9" w:rsidR="005F2797" w:rsidRPr="004C2962" w:rsidRDefault="007E1DC0" w:rsidP="000C6DC8">
      <w:pPr>
        <w:rPr>
          <w:rFonts w:cs="Arial"/>
          <w:szCs w:val="24"/>
        </w:rPr>
      </w:pPr>
      <w:r>
        <w:rPr>
          <w:rFonts w:eastAsia="Arial" w:cs="Arial"/>
          <w:szCs w:val="24"/>
        </w:rPr>
        <w:t>3.30</w:t>
      </w:r>
      <w:r>
        <w:rPr>
          <w:rFonts w:eastAsia="Arial" w:cs="Arial"/>
          <w:szCs w:val="24"/>
        </w:rPr>
        <w:tab/>
      </w:r>
      <w:r w:rsidR="005F2797" w:rsidRPr="004C2962">
        <w:rPr>
          <w:rFonts w:eastAsia="Arial" w:cs="Arial"/>
          <w:szCs w:val="24"/>
        </w:rPr>
        <w:t xml:space="preserve">Of the tools considered which currently apply this methodology most do not require payment of the entire surplus income that applies in each banded income range. The percentage of income to be paid as a contribution varies from country to country. The group considered statistics collated on bankruptcy cases in Scotland (from 2018 – present) with the application of each of the models to determine the impact on contributions. Table 1 (below) provides data on the percentage of cases where a contribution would be assessed using the various income based models.    </w:t>
      </w:r>
    </w:p>
    <w:p w14:paraId="643E4C95" w14:textId="5E75C8F2" w:rsidR="005F2797" w:rsidRPr="004C2962" w:rsidRDefault="007E1DC0" w:rsidP="000C6DC8">
      <w:pPr>
        <w:rPr>
          <w:rFonts w:cs="Arial"/>
          <w:szCs w:val="24"/>
        </w:rPr>
      </w:pPr>
      <w:r>
        <w:rPr>
          <w:rFonts w:eastAsia="Arial" w:cs="Arial"/>
          <w:szCs w:val="24"/>
        </w:rPr>
        <w:t>3.31</w:t>
      </w:r>
      <w:r>
        <w:rPr>
          <w:rFonts w:eastAsia="Arial" w:cs="Arial"/>
          <w:szCs w:val="24"/>
        </w:rPr>
        <w:tab/>
      </w:r>
      <w:r w:rsidR="005F2797" w:rsidRPr="004C2962">
        <w:rPr>
          <w:rFonts w:eastAsia="Arial" w:cs="Arial"/>
          <w:szCs w:val="24"/>
        </w:rPr>
        <w:t>Although there are benefits of clarity and consistency with this type of methodology, the group also recognise the strengths associated with a more bespoke tool. The weakness in this income-based methodology relates to its rigid structure – this means that the agility of the income and expenditure based model to take account of unique circumstances may be diminished. An income only based model does not afford the flexibility needed to provide a clear and specific picture of the individual’s circumstances. Consequently, an individual with a higher income and justifiably higher expenditure would be assessed in the same way as someone with the same income but a lower expenditure. However, it was recognised that this may be the exceptional case which could be resolved with an evidence requirement.</w:t>
      </w:r>
    </w:p>
    <w:p w14:paraId="3E431468" w14:textId="11DB302D" w:rsidR="005F2797" w:rsidRPr="004C2962" w:rsidRDefault="005F2797" w:rsidP="000C6DC8">
      <w:pPr>
        <w:rPr>
          <w:rFonts w:cs="Arial"/>
          <w:szCs w:val="24"/>
        </w:rPr>
      </w:pPr>
      <w:r w:rsidRPr="004C2962">
        <w:rPr>
          <w:rFonts w:eastAsia="Arial" w:cs="Arial"/>
          <w:szCs w:val="24"/>
        </w:rPr>
        <w:lastRenderedPageBreak/>
        <w:t xml:space="preserve"> </w:t>
      </w:r>
      <w:r w:rsidR="007E1DC0">
        <w:rPr>
          <w:rFonts w:eastAsia="Arial" w:cs="Arial"/>
          <w:szCs w:val="24"/>
        </w:rPr>
        <w:t>3.32</w:t>
      </w:r>
      <w:r w:rsidR="007E1DC0">
        <w:rPr>
          <w:rFonts w:eastAsia="Arial" w:cs="Arial"/>
          <w:szCs w:val="24"/>
        </w:rPr>
        <w:tab/>
      </w:r>
      <w:r w:rsidRPr="004C2962">
        <w:rPr>
          <w:rFonts w:eastAsia="Arial" w:cs="Arial"/>
          <w:szCs w:val="24"/>
        </w:rPr>
        <w:t xml:space="preserve">The rigid structure of the model makes taking account of certain non-earned incomes which the group believe should be exempt from a potential contribution - such as child maintenance and a disability allowance – more prominent. The recommendation is that if such a model were to be adopted in Scotland it would require income to be defined in such a way as to take account of such income streams. </w:t>
      </w:r>
    </w:p>
    <w:p w14:paraId="026A208A" w14:textId="21A6073E" w:rsidR="005F2797" w:rsidRPr="004C2962" w:rsidRDefault="007E1DC0" w:rsidP="000C6DC8">
      <w:pPr>
        <w:rPr>
          <w:rFonts w:cs="Arial"/>
          <w:szCs w:val="24"/>
        </w:rPr>
      </w:pPr>
      <w:r>
        <w:rPr>
          <w:rFonts w:eastAsia="Arial" w:cs="Arial"/>
          <w:szCs w:val="24"/>
        </w:rPr>
        <w:t>3.33</w:t>
      </w:r>
      <w:r>
        <w:rPr>
          <w:rFonts w:eastAsia="Arial" w:cs="Arial"/>
          <w:szCs w:val="24"/>
        </w:rPr>
        <w:tab/>
      </w:r>
      <w:r w:rsidR="005F2797" w:rsidRPr="004C2962">
        <w:rPr>
          <w:rFonts w:eastAsia="Arial" w:cs="Arial"/>
          <w:szCs w:val="24"/>
        </w:rPr>
        <w:t xml:space="preserve">The group discussed the methodology to produce the income levels for the banded system – in particular the focus group approach. Research for the Minimum Income Standards is undertaken with selected members of the public who specify the appropriate level of expenditure according to their situation. This information determines the income required for the budget levels within the </w:t>
      </w:r>
      <w:r w:rsidR="00CE4B2F">
        <w:rPr>
          <w:rFonts w:eastAsia="Arial" w:cs="Arial"/>
          <w:szCs w:val="24"/>
        </w:rPr>
        <w:t xml:space="preserve">Minimum Income Standards. </w:t>
      </w:r>
      <w:r w:rsidR="005F2797" w:rsidRPr="004C2962">
        <w:rPr>
          <w:rFonts w:eastAsia="Arial" w:cs="Arial"/>
          <w:szCs w:val="24"/>
        </w:rPr>
        <w:t xml:space="preserve">The group had concerns that this approach might not be fully representative of the circumstances faced by those individuals seeking debt advice and could potentially lead to an overly punitive outcome. </w:t>
      </w:r>
    </w:p>
    <w:p w14:paraId="67091783" w14:textId="4DD28179" w:rsidR="008F72EC" w:rsidRDefault="007E1DC0" w:rsidP="000C6DC8">
      <w:pPr>
        <w:rPr>
          <w:rFonts w:eastAsia="Arial" w:cs="Arial"/>
          <w:szCs w:val="24"/>
        </w:rPr>
      </w:pPr>
      <w:r>
        <w:rPr>
          <w:rFonts w:eastAsia="Arial" w:cs="Arial"/>
          <w:szCs w:val="24"/>
        </w:rPr>
        <w:t>3.34</w:t>
      </w:r>
      <w:r>
        <w:rPr>
          <w:rFonts w:eastAsia="Arial" w:cs="Arial"/>
          <w:szCs w:val="24"/>
        </w:rPr>
        <w:tab/>
      </w:r>
      <w:r w:rsidR="005F2797" w:rsidRPr="004C2962">
        <w:rPr>
          <w:rFonts w:eastAsia="Arial" w:cs="Arial"/>
          <w:szCs w:val="24"/>
        </w:rPr>
        <w:t>The group considered statistics collated from data on bankruptcy cases in Scotland (from 2018 – 2021) according to the individual’s banded income and the estimated contribution level they were assessed to pay. Table 3 (below) provides a breakdown of this information.</w:t>
      </w:r>
    </w:p>
    <w:p w14:paraId="54D36313" w14:textId="1B95DEA4" w:rsidR="000C6DC8" w:rsidRPr="00544291" w:rsidRDefault="008F72EC" w:rsidP="000C6DC8">
      <w:pPr>
        <w:rPr>
          <w:rFonts w:eastAsia="Arial" w:cs="Arial"/>
          <w:szCs w:val="24"/>
        </w:rPr>
      </w:pPr>
      <w:r>
        <w:rPr>
          <w:rFonts w:eastAsia="Arial" w:cs="Arial"/>
          <w:szCs w:val="24"/>
        </w:rPr>
        <w:t>3.35</w:t>
      </w:r>
      <w:r>
        <w:rPr>
          <w:rFonts w:eastAsia="Arial" w:cs="Arial"/>
          <w:szCs w:val="24"/>
        </w:rPr>
        <w:tab/>
      </w:r>
      <w:r w:rsidRPr="006E7023">
        <w:rPr>
          <w:rFonts w:eastAsia="Arial" w:cs="Arial"/>
          <w:szCs w:val="24"/>
        </w:rPr>
        <w:t>The working group recognises that there may not be a ‘perfect’ tool which will meet all requirements in all circumstances. It has considered what is believed to be the most important aspects of the CFT and how best to achieve a balance between the interests of all those involved.</w:t>
      </w:r>
    </w:p>
    <w:p w14:paraId="436D4DA0" w14:textId="72979D0C" w:rsidR="005F2797" w:rsidRPr="00544291" w:rsidRDefault="005F2797" w:rsidP="00544291">
      <w:pPr>
        <w:pStyle w:val="Heading3"/>
      </w:pPr>
      <w:r w:rsidRPr="008E2E0E">
        <w:rPr>
          <w:rFonts w:eastAsia="Arial"/>
        </w:rPr>
        <w:t>Recommendation</w:t>
      </w:r>
    </w:p>
    <w:p w14:paraId="027B2955" w14:textId="7ECC38EA" w:rsidR="005F2797" w:rsidRPr="00544291" w:rsidRDefault="007E1DC0" w:rsidP="000C6DC8">
      <w:pPr>
        <w:pStyle w:val="ListParagraph"/>
        <w:numPr>
          <w:ilvl w:val="0"/>
          <w:numId w:val="61"/>
        </w:numPr>
        <w:rPr>
          <w:rFonts w:cs="Arial"/>
          <w:szCs w:val="24"/>
        </w:rPr>
      </w:pPr>
      <w:r w:rsidRPr="007E1DC0">
        <w:rPr>
          <w:rFonts w:eastAsia="Arial" w:cs="Arial"/>
          <w:b/>
          <w:szCs w:val="24"/>
        </w:rPr>
        <w:t>R</w:t>
      </w:r>
      <w:r w:rsidR="00A04479">
        <w:rPr>
          <w:rFonts w:eastAsia="Arial" w:cs="Arial"/>
          <w:b/>
          <w:szCs w:val="24"/>
        </w:rPr>
        <w:t>ecommendation 8</w:t>
      </w:r>
      <w:r>
        <w:rPr>
          <w:rFonts w:eastAsia="Arial" w:cs="Arial"/>
          <w:szCs w:val="24"/>
        </w:rPr>
        <w:t xml:space="preserve"> - </w:t>
      </w:r>
      <w:r w:rsidR="005F2797" w:rsidRPr="006E7023">
        <w:rPr>
          <w:rFonts w:eastAsia="Arial" w:cs="Arial"/>
          <w:szCs w:val="24"/>
        </w:rPr>
        <w:t>If the policy intention of the CFT is solely to achieve consistency, the group assesses the income based model as best able to achieve that objective. However, if the policy intention is to allow for flexibility and nuance in application to individual circumstances, the income and expenditure tool is considered more suitable.</w:t>
      </w:r>
    </w:p>
    <w:p w14:paraId="7BB06C6E" w14:textId="77777777" w:rsidR="00544291" w:rsidRPr="00544291" w:rsidRDefault="00544291" w:rsidP="00544291">
      <w:pPr>
        <w:pStyle w:val="ListParagraph"/>
        <w:rPr>
          <w:rFonts w:cs="Arial"/>
          <w:szCs w:val="24"/>
        </w:rPr>
      </w:pPr>
    </w:p>
    <w:p w14:paraId="4BE113C6" w14:textId="0E641FC7" w:rsidR="00855CDD" w:rsidRDefault="005F2797" w:rsidP="000C6DC8">
      <w:pPr>
        <w:pStyle w:val="ListParagraph"/>
        <w:rPr>
          <w:rFonts w:eastAsia="Arial" w:cs="Arial"/>
          <w:szCs w:val="24"/>
        </w:rPr>
      </w:pPr>
      <w:r w:rsidRPr="006E7023">
        <w:rPr>
          <w:rFonts w:eastAsia="Arial" w:cs="Arial"/>
          <w:szCs w:val="24"/>
        </w:rPr>
        <w:lastRenderedPageBreak/>
        <w:t>On the operational policy of the tool, there were two main areas of concern identified by the group:</w:t>
      </w:r>
    </w:p>
    <w:p w14:paraId="3223CA1E" w14:textId="77777777" w:rsidR="00544291" w:rsidRPr="00855CDD" w:rsidRDefault="00544291" w:rsidP="000C6DC8">
      <w:pPr>
        <w:pStyle w:val="ListParagraph"/>
        <w:rPr>
          <w:rFonts w:eastAsia="Arial" w:cs="Arial"/>
          <w:szCs w:val="24"/>
        </w:rPr>
      </w:pPr>
    </w:p>
    <w:p w14:paraId="798E7916" w14:textId="77777777" w:rsidR="005F2797" w:rsidRPr="004C2962" w:rsidRDefault="005F2797" w:rsidP="000C6DC8">
      <w:pPr>
        <w:pStyle w:val="ListParagraph"/>
        <w:numPr>
          <w:ilvl w:val="0"/>
          <w:numId w:val="73"/>
        </w:numPr>
        <w:rPr>
          <w:rFonts w:eastAsiaTheme="minorEastAsia" w:cs="Arial"/>
          <w:szCs w:val="24"/>
        </w:rPr>
      </w:pPr>
      <w:r w:rsidRPr="004C2962">
        <w:rPr>
          <w:rFonts w:eastAsia="Arial" w:cs="Arial"/>
          <w:szCs w:val="24"/>
        </w:rPr>
        <w:t xml:space="preserve">the full surplus income being taken as a contribution; and </w:t>
      </w:r>
    </w:p>
    <w:p w14:paraId="3AAE22E9" w14:textId="77777777" w:rsidR="00544291" w:rsidRPr="00544291" w:rsidRDefault="005F2797" w:rsidP="000C6DC8">
      <w:pPr>
        <w:pStyle w:val="ListParagraph"/>
        <w:numPr>
          <w:ilvl w:val="0"/>
          <w:numId w:val="73"/>
        </w:numPr>
        <w:rPr>
          <w:rFonts w:eastAsiaTheme="minorEastAsia" w:cs="Arial"/>
          <w:szCs w:val="24"/>
        </w:rPr>
      </w:pPr>
      <w:r w:rsidRPr="004C2962">
        <w:rPr>
          <w:rFonts w:eastAsia="Arial" w:cs="Arial"/>
          <w:szCs w:val="24"/>
        </w:rPr>
        <w:t>the requirement for evidence being provided in each instance of a ‘trigger figure’ breach.</w:t>
      </w:r>
    </w:p>
    <w:p w14:paraId="4123DC3A" w14:textId="1D17F210" w:rsidR="005F2797" w:rsidRPr="00544291" w:rsidRDefault="005F2797" w:rsidP="00544291">
      <w:pPr>
        <w:pStyle w:val="ListParagraph"/>
        <w:ind w:left="1080"/>
        <w:rPr>
          <w:rFonts w:eastAsiaTheme="minorEastAsia" w:cs="Arial"/>
          <w:szCs w:val="24"/>
        </w:rPr>
      </w:pPr>
      <w:r w:rsidRPr="00544291">
        <w:rPr>
          <w:rFonts w:eastAsia="Arial" w:cs="Arial"/>
          <w:szCs w:val="24"/>
        </w:rPr>
        <w:t xml:space="preserve"> </w:t>
      </w:r>
    </w:p>
    <w:p w14:paraId="65C24972" w14:textId="410474E9" w:rsidR="005F2797" w:rsidRPr="00544291" w:rsidRDefault="007E1DC0" w:rsidP="000C6DC8">
      <w:pPr>
        <w:pStyle w:val="ListParagraph"/>
        <w:numPr>
          <w:ilvl w:val="0"/>
          <w:numId w:val="62"/>
        </w:numPr>
        <w:rPr>
          <w:rFonts w:cs="Arial"/>
          <w:szCs w:val="24"/>
        </w:rPr>
      </w:pPr>
      <w:r w:rsidRPr="007E1DC0">
        <w:rPr>
          <w:rFonts w:eastAsia="Arial" w:cs="Arial"/>
          <w:b/>
          <w:szCs w:val="24"/>
        </w:rPr>
        <w:t>R</w:t>
      </w:r>
      <w:r w:rsidR="00A04479">
        <w:rPr>
          <w:rFonts w:eastAsia="Arial" w:cs="Arial"/>
          <w:b/>
          <w:szCs w:val="24"/>
        </w:rPr>
        <w:t>ecommendation 9</w:t>
      </w:r>
      <w:r>
        <w:rPr>
          <w:rFonts w:eastAsia="Arial" w:cs="Arial"/>
          <w:szCs w:val="24"/>
        </w:rPr>
        <w:t xml:space="preserve"> - </w:t>
      </w:r>
      <w:r w:rsidR="005F2797" w:rsidRPr="006E7023">
        <w:rPr>
          <w:rFonts w:eastAsia="Arial" w:cs="Arial"/>
          <w:szCs w:val="24"/>
        </w:rPr>
        <w:t>There was a consensus within the group that the full surplus should not be required to be taken in all cases as a contribution as this does not provide financial resilience for the individual and leads to a disincentive from securing higher earnings (</w:t>
      </w:r>
      <w:r w:rsidR="00D37120" w:rsidRPr="006E7023">
        <w:rPr>
          <w:rFonts w:eastAsia="Arial" w:cs="Arial"/>
          <w:szCs w:val="24"/>
        </w:rPr>
        <w:t>e.g.</w:t>
      </w:r>
      <w:r w:rsidR="005F2797" w:rsidRPr="006E7023">
        <w:rPr>
          <w:rFonts w:eastAsia="Arial" w:cs="Arial"/>
          <w:szCs w:val="24"/>
        </w:rPr>
        <w:t xml:space="preserve"> through working additional hours). The group could not reach a conclusion on the best alternative approach to be taken and suggest</w:t>
      </w:r>
      <w:r w:rsidR="00D37120" w:rsidRPr="006E7023">
        <w:rPr>
          <w:rFonts w:eastAsia="Arial" w:cs="Arial"/>
          <w:szCs w:val="24"/>
        </w:rPr>
        <w:t xml:space="preserve"> that</w:t>
      </w:r>
      <w:r w:rsidR="005F2797" w:rsidRPr="006E7023">
        <w:rPr>
          <w:rFonts w:eastAsia="Arial" w:cs="Arial"/>
          <w:szCs w:val="24"/>
        </w:rPr>
        <w:t xml:space="preserve"> this requires further consideration. </w:t>
      </w:r>
    </w:p>
    <w:p w14:paraId="6305DEF7" w14:textId="77777777" w:rsidR="00544291" w:rsidRPr="00544291" w:rsidRDefault="00544291" w:rsidP="00544291">
      <w:pPr>
        <w:pStyle w:val="ListParagraph"/>
        <w:rPr>
          <w:rFonts w:cs="Arial"/>
          <w:szCs w:val="24"/>
        </w:rPr>
      </w:pPr>
    </w:p>
    <w:p w14:paraId="3613EE6E" w14:textId="1134781F" w:rsidR="005F2797" w:rsidRPr="00544291" w:rsidRDefault="007E1DC0" w:rsidP="000C6DC8">
      <w:pPr>
        <w:pStyle w:val="ListParagraph"/>
        <w:numPr>
          <w:ilvl w:val="0"/>
          <w:numId w:val="62"/>
        </w:numPr>
        <w:rPr>
          <w:rFonts w:cs="Arial"/>
          <w:szCs w:val="24"/>
        </w:rPr>
      </w:pPr>
      <w:r w:rsidRPr="007E1DC0">
        <w:rPr>
          <w:rFonts w:eastAsia="Arial" w:cs="Arial"/>
          <w:b/>
          <w:szCs w:val="24"/>
        </w:rPr>
        <w:t>R</w:t>
      </w:r>
      <w:r w:rsidR="00A04479">
        <w:rPr>
          <w:rFonts w:eastAsia="Arial" w:cs="Arial"/>
          <w:b/>
          <w:szCs w:val="24"/>
        </w:rPr>
        <w:t>ecommendation 10</w:t>
      </w:r>
      <w:r>
        <w:rPr>
          <w:rFonts w:eastAsia="Arial" w:cs="Arial"/>
          <w:szCs w:val="24"/>
        </w:rPr>
        <w:t xml:space="preserve"> - </w:t>
      </w:r>
      <w:r w:rsidR="005F2797" w:rsidRPr="006E7023">
        <w:rPr>
          <w:rFonts w:eastAsia="Arial" w:cs="Arial"/>
          <w:szCs w:val="24"/>
        </w:rPr>
        <w:t>The group believe there should be more flexibility in the evidence requirements where a spending guideline has been breached. As money advisers and insolvency practitioners are both regulated professions, the group agreed that they should be afforded greater autonomy over the supporting evidence required for expenditure – such as a viable explanation without the requirement for specific documentation. A random check undertaken by AiB - similar to the approach taken by other regulators – was considered as one option to address these concerns.</w:t>
      </w:r>
    </w:p>
    <w:p w14:paraId="24F1032C" w14:textId="77777777" w:rsidR="00544291" w:rsidRPr="00544291" w:rsidRDefault="00544291" w:rsidP="00544291">
      <w:pPr>
        <w:pStyle w:val="ListParagraph"/>
        <w:rPr>
          <w:rFonts w:cs="Arial"/>
          <w:szCs w:val="24"/>
        </w:rPr>
      </w:pPr>
    </w:p>
    <w:p w14:paraId="0982938C" w14:textId="622E9CCE" w:rsidR="00B02B3D" w:rsidRPr="005C02F4" w:rsidRDefault="005F2797" w:rsidP="005C02F4">
      <w:pPr>
        <w:pStyle w:val="ListParagraph"/>
        <w:rPr>
          <w:szCs w:val="24"/>
        </w:rPr>
      </w:pPr>
      <w:r w:rsidRPr="006E7023">
        <w:rPr>
          <w:rFonts w:eastAsia="Arial" w:cs="Arial"/>
          <w:szCs w:val="24"/>
        </w:rPr>
        <w:t xml:space="preserve">On the most appropriate methodology, the group could not reach a consensus. The merits of each approach have been set out in the discussions above. If an income and expenditure model was to be retained, the group have shown a preference in the SFS being used as it will provide a level of consistency across the UK and it is clear that it with be more readily adapted for future economic changes. In addition, the guidance around the operational practices identified by the group should be taken into account if such a move were to occur. While the group recognise the current operational issues with the CFT which need to be resolved, they believe there would be resistance </w:t>
      </w:r>
      <w:r w:rsidRPr="006E7023">
        <w:rPr>
          <w:rFonts w:eastAsia="Arial" w:cs="Arial"/>
          <w:szCs w:val="24"/>
        </w:rPr>
        <w:lastRenderedPageBreak/>
        <w:t>from the money advice community should the evidential requirements not be addressed alongside any introduction of the SFS as this greatly impacts on their time and ability to provide advic</w:t>
      </w:r>
      <w:r w:rsidRPr="008E2E0E">
        <w:rPr>
          <w:rFonts w:eastAsia="Arial" w:cs="Arial"/>
          <w:szCs w:val="24"/>
        </w:rPr>
        <w:t xml:space="preserve">e to their clients.  </w:t>
      </w:r>
    </w:p>
    <w:p w14:paraId="107A1E9E" w14:textId="3A0268FD" w:rsidR="005F2797" w:rsidRPr="00B02B3D" w:rsidRDefault="005F2797" w:rsidP="000C6DC8">
      <w:pPr>
        <w:rPr>
          <w:rFonts w:eastAsia="Arial" w:cs="Arial"/>
          <w:szCs w:val="24"/>
        </w:rPr>
      </w:pPr>
      <w:r w:rsidRPr="00D03EEE">
        <w:rPr>
          <w:rFonts w:eastAsia="Arial" w:cs="Arial"/>
          <w:b/>
          <w:szCs w:val="24"/>
        </w:rPr>
        <w:t>Table 1</w:t>
      </w:r>
      <w:r w:rsidR="00A04479" w:rsidRPr="00D03EEE">
        <w:rPr>
          <w:rFonts w:cs="Arial"/>
          <w:b/>
          <w:szCs w:val="24"/>
        </w:rPr>
        <w:t xml:space="preserve">: </w:t>
      </w:r>
      <w:r w:rsidRPr="00D03EEE">
        <w:rPr>
          <w:rFonts w:eastAsia="Arial" w:cs="Arial"/>
          <w:b/>
          <w:szCs w:val="24"/>
        </w:rPr>
        <w:t>Management Information: Comparison of alternative contribution (income-based) assessment tools</w:t>
      </w:r>
    </w:p>
    <w:tbl>
      <w:tblPr>
        <w:tblStyle w:val="TableGrid"/>
        <w:tblW w:w="0" w:type="auto"/>
        <w:tblInd w:w="0" w:type="dxa"/>
        <w:tblLook w:val="04A0" w:firstRow="1" w:lastRow="0" w:firstColumn="1" w:lastColumn="0" w:noHBand="0" w:noVBand="1"/>
        <w:tblCaption w:val="Table 1: Management Information: Comparison of alternative contribution (income-based) assessment tools"/>
        <w:tblDescription w:val="Comparison of alternative contribution (income-based) assessment tools for financial years 2018-19, 2019-20 and 2021-21."/>
      </w:tblPr>
      <w:tblGrid>
        <w:gridCol w:w="3329"/>
        <w:gridCol w:w="895"/>
        <w:gridCol w:w="895"/>
        <w:gridCol w:w="895"/>
        <w:gridCol w:w="1030"/>
        <w:gridCol w:w="1962"/>
      </w:tblGrid>
      <w:tr w:rsidR="005F2797" w:rsidRPr="00D03EEE" w14:paraId="191AE07A" w14:textId="77777777" w:rsidTr="00B02B3D">
        <w:trPr>
          <w:cantSplit/>
          <w:trHeight w:val="861"/>
          <w:tblHeader/>
        </w:trPr>
        <w:tc>
          <w:tcPr>
            <w:tcW w:w="0" w:type="auto"/>
            <w:tcBorders>
              <w:top w:val="single" w:sz="8" w:space="0" w:color="auto"/>
              <w:left w:val="single" w:sz="8" w:space="0" w:color="auto"/>
              <w:bottom w:val="single" w:sz="8" w:space="0" w:color="auto"/>
              <w:right w:val="single" w:sz="8" w:space="0" w:color="auto"/>
            </w:tcBorders>
          </w:tcPr>
          <w:p w14:paraId="4F0353E8" w14:textId="556B5B92" w:rsidR="005F2797" w:rsidRPr="00D03EEE" w:rsidRDefault="005F2797" w:rsidP="000C6DC8">
            <w:pPr>
              <w:rPr>
                <w:rFonts w:cs="Arial"/>
                <w:szCs w:val="24"/>
              </w:rPr>
            </w:pPr>
            <w:r w:rsidRPr="00D03EEE">
              <w:rPr>
                <w:rFonts w:eastAsia="Arial" w:cs="Arial"/>
                <w:b/>
                <w:bCs/>
                <w:szCs w:val="24"/>
              </w:rPr>
              <w:t>Financial year of the awarded date</w:t>
            </w:r>
          </w:p>
        </w:tc>
        <w:tc>
          <w:tcPr>
            <w:tcW w:w="0" w:type="auto"/>
            <w:tcBorders>
              <w:top w:val="single" w:sz="8" w:space="0" w:color="auto"/>
              <w:left w:val="single" w:sz="8" w:space="0" w:color="auto"/>
              <w:bottom w:val="single" w:sz="8" w:space="0" w:color="auto"/>
              <w:right w:val="single" w:sz="8" w:space="0" w:color="auto"/>
            </w:tcBorders>
          </w:tcPr>
          <w:p w14:paraId="776D2B2A" w14:textId="06E8F967" w:rsidR="005F2797" w:rsidRPr="00D03EEE" w:rsidRDefault="005F2797" w:rsidP="000C6DC8">
            <w:pPr>
              <w:rPr>
                <w:rFonts w:cs="Arial"/>
                <w:szCs w:val="24"/>
              </w:rPr>
            </w:pPr>
            <w:r w:rsidRPr="00D03EEE">
              <w:rPr>
                <w:rFonts w:eastAsia="Arial" w:cs="Arial"/>
                <w:b/>
                <w:bCs/>
                <w:szCs w:val="24"/>
              </w:rPr>
              <w:t>2018-19</w:t>
            </w:r>
          </w:p>
        </w:tc>
        <w:tc>
          <w:tcPr>
            <w:tcW w:w="0" w:type="auto"/>
            <w:tcBorders>
              <w:top w:val="single" w:sz="8" w:space="0" w:color="auto"/>
              <w:left w:val="single" w:sz="8" w:space="0" w:color="auto"/>
              <w:bottom w:val="single" w:sz="8" w:space="0" w:color="auto"/>
              <w:right w:val="single" w:sz="8" w:space="0" w:color="auto"/>
            </w:tcBorders>
          </w:tcPr>
          <w:p w14:paraId="3ED87823" w14:textId="349837E2" w:rsidR="005F2797" w:rsidRPr="00D03EEE" w:rsidRDefault="005F2797" w:rsidP="000C6DC8">
            <w:pPr>
              <w:rPr>
                <w:rFonts w:cs="Arial"/>
                <w:szCs w:val="24"/>
              </w:rPr>
            </w:pPr>
            <w:r w:rsidRPr="00D03EEE">
              <w:rPr>
                <w:rFonts w:eastAsia="Arial" w:cs="Arial"/>
                <w:b/>
                <w:bCs/>
                <w:szCs w:val="24"/>
              </w:rPr>
              <w:t>2019-20</w:t>
            </w:r>
          </w:p>
        </w:tc>
        <w:tc>
          <w:tcPr>
            <w:tcW w:w="0" w:type="auto"/>
            <w:tcBorders>
              <w:top w:val="single" w:sz="8" w:space="0" w:color="auto"/>
              <w:left w:val="single" w:sz="8" w:space="0" w:color="auto"/>
              <w:bottom w:val="single" w:sz="8" w:space="0" w:color="auto"/>
              <w:right w:val="single" w:sz="8" w:space="0" w:color="auto"/>
            </w:tcBorders>
          </w:tcPr>
          <w:p w14:paraId="5068AE0B" w14:textId="6738F5EA" w:rsidR="005F2797" w:rsidRPr="00D03EEE" w:rsidRDefault="005F2797" w:rsidP="000C6DC8">
            <w:pPr>
              <w:rPr>
                <w:rFonts w:cs="Arial"/>
                <w:szCs w:val="24"/>
              </w:rPr>
            </w:pPr>
            <w:r w:rsidRPr="00D03EEE">
              <w:rPr>
                <w:rFonts w:eastAsia="Arial" w:cs="Arial"/>
                <w:b/>
                <w:bCs/>
                <w:szCs w:val="24"/>
              </w:rPr>
              <w:t>2020-21</w:t>
            </w:r>
          </w:p>
        </w:tc>
        <w:tc>
          <w:tcPr>
            <w:tcW w:w="0" w:type="auto"/>
            <w:tcBorders>
              <w:top w:val="single" w:sz="8" w:space="0" w:color="auto"/>
              <w:left w:val="single" w:sz="8" w:space="0" w:color="auto"/>
              <w:bottom w:val="single" w:sz="8" w:space="0" w:color="auto"/>
              <w:right w:val="single" w:sz="8" w:space="0" w:color="auto"/>
            </w:tcBorders>
          </w:tcPr>
          <w:p w14:paraId="69C34B2E" w14:textId="4727A313" w:rsidR="005F2797" w:rsidRPr="00B02B3D" w:rsidRDefault="005F2797" w:rsidP="00B02B3D">
            <w:pPr>
              <w:rPr>
                <w:rFonts w:cs="Arial"/>
                <w:szCs w:val="24"/>
              </w:rPr>
            </w:pPr>
            <w:r w:rsidRPr="00D03EEE">
              <w:rPr>
                <w:rFonts w:eastAsia="Arial" w:cs="Arial"/>
                <w:b/>
                <w:bCs/>
                <w:szCs w:val="24"/>
              </w:rPr>
              <w:t>Overall</w:t>
            </w:r>
          </w:p>
        </w:tc>
        <w:tc>
          <w:tcPr>
            <w:tcW w:w="0" w:type="auto"/>
            <w:tcBorders>
              <w:top w:val="single" w:sz="8" w:space="0" w:color="auto"/>
              <w:left w:val="single" w:sz="8" w:space="0" w:color="auto"/>
              <w:bottom w:val="single" w:sz="8" w:space="0" w:color="auto"/>
              <w:right w:val="single" w:sz="8" w:space="0" w:color="auto"/>
            </w:tcBorders>
          </w:tcPr>
          <w:p w14:paraId="5B8504ED" w14:textId="25DBB845" w:rsidR="005F2797" w:rsidRPr="00D03EEE" w:rsidRDefault="005F2797" w:rsidP="000C6DC8">
            <w:pPr>
              <w:rPr>
                <w:rFonts w:cs="Arial"/>
                <w:szCs w:val="24"/>
              </w:rPr>
            </w:pPr>
            <w:r w:rsidRPr="00D03EEE">
              <w:rPr>
                <w:rFonts w:eastAsia="Arial" w:cs="Arial"/>
                <w:b/>
                <w:bCs/>
                <w:szCs w:val="24"/>
              </w:rPr>
              <w:t>Percentage of overall figure</w:t>
            </w:r>
          </w:p>
        </w:tc>
      </w:tr>
      <w:tr w:rsidR="005F2797" w:rsidRPr="00D03EEE" w14:paraId="30D82C22" w14:textId="77777777" w:rsidTr="00B02B3D">
        <w:tc>
          <w:tcPr>
            <w:tcW w:w="0" w:type="auto"/>
            <w:tcBorders>
              <w:top w:val="single" w:sz="8" w:space="0" w:color="auto"/>
              <w:left w:val="single" w:sz="8" w:space="0" w:color="auto"/>
              <w:bottom w:val="single" w:sz="8" w:space="0" w:color="auto"/>
              <w:right w:val="single" w:sz="8" w:space="0" w:color="auto"/>
            </w:tcBorders>
          </w:tcPr>
          <w:p w14:paraId="37225CC5" w14:textId="77777777" w:rsidR="005F2797" w:rsidRPr="00D03EEE" w:rsidRDefault="005F2797" w:rsidP="000C6DC8">
            <w:pPr>
              <w:rPr>
                <w:rFonts w:cs="Arial"/>
                <w:szCs w:val="24"/>
              </w:rPr>
            </w:pPr>
            <w:r w:rsidRPr="00D03EEE">
              <w:rPr>
                <w:rFonts w:eastAsia="Arial" w:cs="Arial"/>
                <w:b/>
                <w:bCs/>
                <w:szCs w:val="24"/>
              </w:rPr>
              <w:t>Number of debtor applications of bankruptcy</w:t>
            </w:r>
          </w:p>
        </w:tc>
        <w:tc>
          <w:tcPr>
            <w:tcW w:w="0" w:type="auto"/>
            <w:tcBorders>
              <w:top w:val="single" w:sz="8" w:space="0" w:color="auto"/>
              <w:left w:val="single" w:sz="8" w:space="0" w:color="auto"/>
              <w:bottom w:val="single" w:sz="8" w:space="0" w:color="auto"/>
              <w:right w:val="single" w:sz="8" w:space="0" w:color="auto"/>
            </w:tcBorders>
          </w:tcPr>
          <w:p w14:paraId="105B9CA1" w14:textId="62EA2488" w:rsidR="005F2797" w:rsidRPr="00D03EEE" w:rsidRDefault="005F2797" w:rsidP="000C6DC8">
            <w:pPr>
              <w:rPr>
                <w:rFonts w:cs="Arial"/>
                <w:szCs w:val="24"/>
              </w:rPr>
            </w:pPr>
            <w:r w:rsidRPr="00D03EEE">
              <w:rPr>
                <w:rFonts w:eastAsia="Arial" w:cs="Arial"/>
                <w:b/>
                <w:bCs/>
                <w:szCs w:val="24"/>
              </w:rPr>
              <w:t>3,867</w:t>
            </w:r>
          </w:p>
        </w:tc>
        <w:tc>
          <w:tcPr>
            <w:tcW w:w="0" w:type="auto"/>
            <w:tcBorders>
              <w:top w:val="single" w:sz="8" w:space="0" w:color="auto"/>
              <w:left w:val="single" w:sz="8" w:space="0" w:color="auto"/>
              <w:bottom w:val="single" w:sz="8" w:space="0" w:color="auto"/>
              <w:right w:val="single" w:sz="8" w:space="0" w:color="auto"/>
            </w:tcBorders>
          </w:tcPr>
          <w:p w14:paraId="4BFB440B" w14:textId="397A33C6" w:rsidR="005F2797" w:rsidRPr="00D03EEE" w:rsidRDefault="005F2797" w:rsidP="000C6DC8">
            <w:pPr>
              <w:rPr>
                <w:rFonts w:cs="Arial"/>
                <w:szCs w:val="24"/>
              </w:rPr>
            </w:pPr>
            <w:r w:rsidRPr="00D03EEE">
              <w:rPr>
                <w:rFonts w:eastAsia="Arial" w:cs="Arial"/>
                <w:b/>
                <w:bCs/>
                <w:szCs w:val="24"/>
              </w:rPr>
              <w:t>3,825</w:t>
            </w:r>
          </w:p>
        </w:tc>
        <w:tc>
          <w:tcPr>
            <w:tcW w:w="0" w:type="auto"/>
            <w:tcBorders>
              <w:top w:val="single" w:sz="8" w:space="0" w:color="auto"/>
              <w:left w:val="single" w:sz="8" w:space="0" w:color="auto"/>
              <w:bottom w:val="single" w:sz="8" w:space="0" w:color="auto"/>
              <w:right w:val="single" w:sz="8" w:space="0" w:color="auto"/>
            </w:tcBorders>
          </w:tcPr>
          <w:p w14:paraId="79CD812C" w14:textId="4B9C09BE" w:rsidR="005F2797" w:rsidRPr="00D03EEE" w:rsidRDefault="005F2797" w:rsidP="000C6DC8">
            <w:pPr>
              <w:rPr>
                <w:rFonts w:cs="Arial"/>
                <w:szCs w:val="24"/>
              </w:rPr>
            </w:pPr>
            <w:r w:rsidRPr="00D03EEE">
              <w:rPr>
                <w:rFonts w:eastAsia="Arial" w:cs="Arial"/>
                <w:b/>
                <w:bCs/>
                <w:szCs w:val="24"/>
              </w:rPr>
              <w:t>2,163</w:t>
            </w:r>
          </w:p>
        </w:tc>
        <w:tc>
          <w:tcPr>
            <w:tcW w:w="0" w:type="auto"/>
            <w:tcBorders>
              <w:top w:val="single" w:sz="8" w:space="0" w:color="auto"/>
              <w:left w:val="single" w:sz="8" w:space="0" w:color="auto"/>
              <w:bottom w:val="single" w:sz="8" w:space="0" w:color="auto"/>
              <w:right w:val="single" w:sz="8" w:space="0" w:color="auto"/>
            </w:tcBorders>
          </w:tcPr>
          <w:p w14:paraId="72BE56B4" w14:textId="445C7CC5" w:rsidR="005F2797" w:rsidRPr="00D03EEE" w:rsidRDefault="005F2797" w:rsidP="000C6DC8">
            <w:pPr>
              <w:rPr>
                <w:rFonts w:cs="Arial"/>
                <w:szCs w:val="24"/>
              </w:rPr>
            </w:pPr>
            <w:r w:rsidRPr="00D03EEE">
              <w:rPr>
                <w:rFonts w:eastAsia="Arial" w:cs="Arial"/>
                <w:b/>
                <w:bCs/>
                <w:szCs w:val="24"/>
              </w:rPr>
              <w:t>9,855</w:t>
            </w:r>
          </w:p>
        </w:tc>
        <w:tc>
          <w:tcPr>
            <w:tcW w:w="0" w:type="auto"/>
            <w:tcBorders>
              <w:top w:val="single" w:sz="8" w:space="0" w:color="auto"/>
              <w:left w:val="single" w:sz="8" w:space="0" w:color="auto"/>
              <w:bottom w:val="single" w:sz="8" w:space="0" w:color="auto"/>
              <w:right w:val="single" w:sz="8" w:space="0" w:color="auto"/>
            </w:tcBorders>
          </w:tcPr>
          <w:p w14:paraId="2E3B37CB" w14:textId="205E9D8E" w:rsidR="005F2797" w:rsidRPr="00D03EEE" w:rsidRDefault="005F2797" w:rsidP="000C6DC8">
            <w:pPr>
              <w:rPr>
                <w:rFonts w:cs="Arial"/>
                <w:szCs w:val="24"/>
              </w:rPr>
            </w:pPr>
            <w:r w:rsidRPr="00D03EEE">
              <w:rPr>
                <w:rFonts w:eastAsia="Arial" w:cs="Arial"/>
                <w:b/>
                <w:bCs/>
                <w:szCs w:val="24"/>
              </w:rPr>
              <w:t>100%</w:t>
            </w:r>
          </w:p>
        </w:tc>
      </w:tr>
      <w:tr w:rsidR="005F2797" w:rsidRPr="00D03EEE" w14:paraId="202448B8" w14:textId="77777777" w:rsidTr="00B02B3D">
        <w:tc>
          <w:tcPr>
            <w:tcW w:w="0" w:type="auto"/>
            <w:tcBorders>
              <w:top w:val="single" w:sz="8" w:space="0" w:color="auto"/>
              <w:left w:val="single" w:sz="8" w:space="0" w:color="auto"/>
              <w:bottom w:val="single" w:sz="8" w:space="0" w:color="auto"/>
              <w:right w:val="single" w:sz="8" w:space="0" w:color="auto"/>
            </w:tcBorders>
          </w:tcPr>
          <w:p w14:paraId="7021CF78" w14:textId="77777777" w:rsidR="005F2797" w:rsidRPr="00D03EEE" w:rsidRDefault="005F2797" w:rsidP="000C6DC8">
            <w:pPr>
              <w:rPr>
                <w:rFonts w:cs="Arial"/>
                <w:szCs w:val="24"/>
              </w:rPr>
            </w:pPr>
            <w:r w:rsidRPr="00D03EEE">
              <w:rPr>
                <w:rFonts w:eastAsia="Arial" w:cs="Arial"/>
                <w:szCs w:val="24"/>
              </w:rPr>
              <w:t>of which tool - DCO/CFT: Set to pay a contribution (see Table 2)</w:t>
            </w:r>
          </w:p>
        </w:tc>
        <w:tc>
          <w:tcPr>
            <w:tcW w:w="0" w:type="auto"/>
            <w:tcBorders>
              <w:top w:val="single" w:sz="8" w:space="0" w:color="auto"/>
              <w:left w:val="single" w:sz="8" w:space="0" w:color="auto"/>
              <w:bottom w:val="single" w:sz="8" w:space="0" w:color="auto"/>
              <w:right w:val="single" w:sz="8" w:space="0" w:color="auto"/>
            </w:tcBorders>
          </w:tcPr>
          <w:p w14:paraId="7C1C272C" w14:textId="5643E487" w:rsidR="005F2797" w:rsidRPr="00D03EEE" w:rsidRDefault="005F2797" w:rsidP="000C6DC8">
            <w:pPr>
              <w:rPr>
                <w:rFonts w:cs="Arial"/>
                <w:szCs w:val="24"/>
              </w:rPr>
            </w:pPr>
            <w:r w:rsidRPr="00D03EEE">
              <w:rPr>
                <w:rFonts w:eastAsia="Arial" w:cs="Arial"/>
                <w:szCs w:val="24"/>
              </w:rPr>
              <w:t>602</w:t>
            </w:r>
          </w:p>
        </w:tc>
        <w:tc>
          <w:tcPr>
            <w:tcW w:w="0" w:type="auto"/>
            <w:tcBorders>
              <w:top w:val="single" w:sz="8" w:space="0" w:color="auto"/>
              <w:left w:val="single" w:sz="8" w:space="0" w:color="auto"/>
              <w:bottom w:val="single" w:sz="8" w:space="0" w:color="auto"/>
              <w:right w:val="single" w:sz="8" w:space="0" w:color="auto"/>
            </w:tcBorders>
          </w:tcPr>
          <w:p w14:paraId="2BE48E91" w14:textId="67C88C71" w:rsidR="005F2797" w:rsidRPr="00D03EEE" w:rsidRDefault="005F2797" w:rsidP="000C6DC8">
            <w:pPr>
              <w:rPr>
                <w:rFonts w:cs="Arial"/>
                <w:szCs w:val="24"/>
              </w:rPr>
            </w:pPr>
            <w:r w:rsidRPr="00D03EEE">
              <w:rPr>
                <w:rFonts w:eastAsia="Arial" w:cs="Arial"/>
                <w:szCs w:val="24"/>
              </w:rPr>
              <w:t>618</w:t>
            </w:r>
          </w:p>
        </w:tc>
        <w:tc>
          <w:tcPr>
            <w:tcW w:w="0" w:type="auto"/>
            <w:tcBorders>
              <w:top w:val="single" w:sz="8" w:space="0" w:color="auto"/>
              <w:left w:val="single" w:sz="8" w:space="0" w:color="auto"/>
              <w:bottom w:val="single" w:sz="8" w:space="0" w:color="auto"/>
              <w:right w:val="single" w:sz="8" w:space="0" w:color="auto"/>
            </w:tcBorders>
          </w:tcPr>
          <w:p w14:paraId="39712F7C" w14:textId="46FBF993" w:rsidR="005F2797" w:rsidRPr="00D03EEE" w:rsidRDefault="005F2797" w:rsidP="000C6DC8">
            <w:pPr>
              <w:rPr>
                <w:rFonts w:cs="Arial"/>
                <w:szCs w:val="24"/>
              </w:rPr>
            </w:pPr>
            <w:r w:rsidRPr="00D03EEE">
              <w:rPr>
                <w:rFonts w:eastAsia="Arial" w:cs="Arial"/>
                <w:szCs w:val="24"/>
              </w:rPr>
              <w:t>212</w:t>
            </w:r>
          </w:p>
        </w:tc>
        <w:tc>
          <w:tcPr>
            <w:tcW w:w="0" w:type="auto"/>
            <w:tcBorders>
              <w:top w:val="single" w:sz="8" w:space="0" w:color="auto"/>
              <w:left w:val="single" w:sz="8" w:space="0" w:color="auto"/>
              <w:bottom w:val="single" w:sz="8" w:space="0" w:color="auto"/>
              <w:right w:val="single" w:sz="8" w:space="0" w:color="auto"/>
            </w:tcBorders>
          </w:tcPr>
          <w:p w14:paraId="5AE06EBD" w14:textId="443B94A8" w:rsidR="005F2797" w:rsidRPr="00D03EEE" w:rsidRDefault="005F2797" w:rsidP="000C6DC8">
            <w:pPr>
              <w:rPr>
                <w:rFonts w:cs="Arial"/>
                <w:szCs w:val="24"/>
              </w:rPr>
            </w:pPr>
            <w:r w:rsidRPr="00D03EEE">
              <w:rPr>
                <w:rFonts w:eastAsia="Arial" w:cs="Arial"/>
                <w:szCs w:val="24"/>
              </w:rPr>
              <w:t>1,432</w:t>
            </w:r>
          </w:p>
        </w:tc>
        <w:tc>
          <w:tcPr>
            <w:tcW w:w="0" w:type="auto"/>
            <w:tcBorders>
              <w:top w:val="single" w:sz="8" w:space="0" w:color="auto"/>
              <w:left w:val="single" w:sz="8" w:space="0" w:color="auto"/>
              <w:bottom w:val="single" w:sz="8" w:space="0" w:color="auto"/>
              <w:right w:val="single" w:sz="8" w:space="0" w:color="auto"/>
            </w:tcBorders>
          </w:tcPr>
          <w:p w14:paraId="34F7C3EE" w14:textId="20F83B71" w:rsidR="005F2797" w:rsidRPr="00D03EEE" w:rsidRDefault="005F2797" w:rsidP="000C6DC8">
            <w:pPr>
              <w:rPr>
                <w:rFonts w:cs="Arial"/>
                <w:szCs w:val="24"/>
              </w:rPr>
            </w:pPr>
            <w:r w:rsidRPr="00D03EEE">
              <w:rPr>
                <w:rFonts w:eastAsia="Arial" w:cs="Arial"/>
                <w:szCs w:val="24"/>
              </w:rPr>
              <w:t>15%</w:t>
            </w:r>
          </w:p>
        </w:tc>
      </w:tr>
      <w:tr w:rsidR="005F2797" w:rsidRPr="00D03EEE" w14:paraId="2B0A2EA7" w14:textId="77777777" w:rsidTr="00B02B3D">
        <w:tc>
          <w:tcPr>
            <w:tcW w:w="0" w:type="auto"/>
            <w:tcBorders>
              <w:top w:val="single" w:sz="8" w:space="0" w:color="auto"/>
              <w:left w:val="single" w:sz="8" w:space="0" w:color="auto"/>
              <w:bottom w:val="single" w:sz="8" w:space="0" w:color="auto"/>
              <w:right w:val="single" w:sz="8" w:space="0" w:color="auto"/>
            </w:tcBorders>
          </w:tcPr>
          <w:p w14:paraId="2B068AB8" w14:textId="77777777" w:rsidR="005F2797" w:rsidRPr="00D03EEE" w:rsidRDefault="005F2797" w:rsidP="000C6DC8">
            <w:pPr>
              <w:rPr>
                <w:rFonts w:cs="Arial"/>
                <w:szCs w:val="24"/>
              </w:rPr>
            </w:pPr>
            <w:r w:rsidRPr="00D03EEE">
              <w:rPr>
                <w:rFonts w:eastAsia="Arial" w:cs="Arial"/>
                <w:szCs w:val="24"/>
              </w:rPr>
              <w:t>of which tool - Canada: Assessed to pay a contribution</w:t>
            </w:r>
          </w:p>
        </w:tc>
        <w:tc>
          <w:tcPr>
            <w:tcW w:w="0" w:type="auto"/>
            <w:tcBorders>
              <w:top w:val="single" w:sz="8" w:space="0" w:color="auto"/>
              <w:left w:val="single" w:sz="8" w:space="0" w:color="auto"/>
              <w:bottom w:val="single" w:sz="8" w:space="0" w:color="auto"/>
              <w:right w:val="single" w:sz="8" w:space="0" w:color="auto"/>
            </w:tcBorders>
          </w:tcPr>
          <w:p w14:paraId="08C079D2" w14:textId="7A1AE870" w:rsidR="005F2797" w:rsidRPr="00D03EEE" w:rsidRDefault="005F2797" w:rsidP="000C6DC8">
            <w:pPr>
              <w:rPr>
                <w:rFonts w:cs="Arial"/>
                <w:szCs w:val="24"/>
              </w:rPr>
            </w:pPr>
            <w:r w:rsidRPr="00D03EEE">
              <w:rPr>
                <w:rFonts w:eastAsia="Arial" w:cs="Arial"/>
                <w:szCs w:val="24"/>
              </w:rPr>
              <w:t>651</w:t>
            </w:r>
          </w:p>
        </w:tc>
        <w:tc>
          <w:tcPr>
            <w:tcW w:w="0" w:type="auto"/>
            <w:tcBorders>
              <w:top w:val="single" w:sz="8" w:space="0" w:color="auto"/>
              <w:left w:val="single" w:sz="8" w:space="0" w:color="auto"/>
              <w:bottom w:val="single" w:sz="8" w:space="0" w:color="auto"/>
              <w:right w:val="single" w:sz="8" w:space="0" w:color="auto"/>
            </w:tcBorders>
          </w:tcPr>
          <w:p w14:paraId="4A56367E" w14:textId="33EB88C9" w:rsidR="005F2797" w:rsidRPr="00D03EEE" w:rsidRDefault="005F2797" w:rsidP="000C6DC8">
            <w:pPr>
              <w:rPr>
                <w:rFonts w:cs="Arial"/>
                <w:szCs w:val="24"/>
              </w:rPr>
            </w:pPr>
            <w:r w:rsidRPr="00D03EEE">
              <w:rPr>
                <w:rFonts w:eastAsia="Arial" w:cs="Arial"/>
                <w:szCs w:val="24"/>
              </w:rPr>
              <w:t>736</w:t>
            </w:r>
          </w:p>
        </w:tc>
        <w:tc>
          <w:tcPr>
            <w:tcW w:w="0" w:type="auto"/>
            <w:tcBorders>
              <w:top w:val="single" w:sz="8" w:space="0" w:color="auto"/>
              <w:left w:val="single" w:sz="8" w:space="0" w:color="auto"/>
              <w:bottom w:val="single" w:sz="8" w:space="0" w:color="auto"/>
              <w:right w:val="single" w:sz="8" w:space="0" w:color="auto"/>
            </w:tcBorders>
          </w:tcPr>
          <w:p w14:paraId="7968E8CA" w14:textId="044F298D" w:rsidR="005F2797" w:rsidRPr="00D03EEE" w:rsidRDefault="005F2797" w:rsidP="000C6DC8">
            <w:pPr>
              <w:rPr>
                <w:rFonts w:cs="Arial"/>
                <w:szCs w:val="24"/>
              </w:rPr>
            </w:pPr>
            <w:r w:rsidRPr="00D03EEE">
              <w:rPr>
                <w:rFonts w:eastAsia="Arial" w:cs="Arial"/>
                <w:szCs w:val="24"/>
              </w:rPr>
              <w:t>439</w:t>
            </w:r>
          </w:p>
        </w:tc>
        <w:tc>
          <w:tcPr>
            <w:tcW w:w="0" w:type="auto"/>
            <w:tcBorders>
              <w:top w:val="single" w:sz="8" w:space="0" w:color="auto"/>
              <w:left w:val="single" w:sz="8" w:space="0" w:color="auto"/>
              <w:bottom w:val="single" w:sz="8" w:space="0" w:color="auto"/>
              <w:right w:val="single" w:sz="8" w:space="0" w:color="auto"/>
            </w:tcBorders>
          </w:tcPr>
          <w:p w14:paraId="44358B72" w14:textId="27B38D84" w:rsidR="005F2797" w:rsidRPr="00D03EEE" w:rsidRDefault="005F2797" w:rsidP="000C6DC8">
            <w:pPr>
              <w:rPr>
                <w:rFonts w:cs="Arial"/>
                <w:szCs w:val="24"/>
              </w:rPr>
            </w:pPr>
            <w:r w:rsidRPr="00D03EEE">
              <w:rPr>
                <w:rFonts w:eastAsia="Arial" w:cs="Arial"/>
                <w:szCs w:val="24"/>
              </w:rPr>
              <w:t>1,826</w:t>
            </w:r>
          </w:p>
        </w:tc>
        <w:tc>
          <w:tcPr>
            <w:tcW w:w="0" w:type="auto"/>
            <w:tcBorders>
              <w:top w:val="single" w:sz="8" w:space="0" w:color="auto"/>
              <w:left w:val="single" w:sz="8" w:space="0" w:color="auto"/>
              <w:bottom w:val="single" w:sz="8" w:space="0" w:color="auto"/>
              <w:right w:val="single" w:sz="8" w:space="0" w:color="auto"/>
            </w:tcBorders>
          </w:tcPr>
          <w:p w14:paraId="32F98FB0" w14:textId="688C3EF4" w:rsidR="005F2797" w:rsidRPr="00D03EEE" w:rsidRDefault="005F2797" w:rsidP="000C6DC8">
            <w:pPr>
              <w:rPr>
                <w:rFonts w:cs="Arial"/>
                <w:szCs w:val="24"/>
              </w:rPr>
            </w:pPr>
            <w:r w:rsidRPr="00D03EEE">
              <w:rPr>
                <w:rFonts w:eastAsia="Arial" w:cs="Arial"/>
                <w:szCs w:val="24"/>
              </w:rPr>
              <w:t>19%</w:t>
            </w:r>
          </w:p>
        </w:tc>
      </w:tr>
      <w:tr w:rsidR="005F2797" w:rsidRPr="00D03EEE" w14:paraId="411AEC29" w14:textId="77777777" w:rsidTr="00B02B3D">
        <w:tc>
          <w:tcPr>
            <w:tcW w:w="0" w:type="auto"/>
            <w:tcBorders>
              <w:top w:val="single" w:sz="8" w:space="0" w:color="auto"/>
              <w:left w:val="single" w:sz="8" w:space="0" w:color="auto"/>
              <w:bottom w:val="single" w:sz="8" w:space="0" w:color="auto"/>
              <w:right w:val="single" w:sz="8" w:space="0" w:color="auto"/>
            </w:tcBorders>
          </w:tcPr>
          <w:p w14:paraId="40AC7CBB" w14:textId="77777777" w:rsidR="005F2797" w:rsidRPr="00D03EEE" w:rsidRDefault="005F2797" w:rsidP="000C6DC8">
            <w:pPr>
              <w:rPr>
                <w:rFonts w:cs="Arial"/>
                <w:szCs w:val="24"/>
              </w:rPr>
            </w:pPr>
            <w:r w:rsidRPr="00D03EEE">
              <w:rPr>
                <w:rFonts w:eastAsia="Arial" w:cs="Arial"/>
                <w:szCs w:val="24"/>
              </w:rPr>
              <w:t>of which tool - Australia: Assessed to pay a contribution</w:t>
            </w:r>
          </w:p>
        </w:tc>
        <w:tc>
          <w:tcPr>
            <w:tcW w:w="0" w:type="auto"/>
            <w:tcBorders>
              <w:top w:val="single" w:sz="8" w:space="0" w:color="auto"/>
              <w:left w:val="single" w:sz="8" w:space="0" w:color="auto"/>
              <w:bottom w:val="single" w:sz="8" w:space="0" w:color="auto"/>
              <w:right w:val="single" w:sz="8" w:space="0" w:color="auto"/>
            </w:tcBorders>
          </w:tcPr>
          <w:p w14:paraId="2ED4688F" w14:textId="38CDEF47" w:rsidR="005F2797" w:rsidRPr="00D03EEE" w:rsidRDefault="005F2797" w:rsidP="000C6DC8">
            <w:pPr>
              <w:rPr>
                <w:rFonts w:cs="Arial"/>
                <w:szCs w:val="24"/>
              </w:rPr>
            </w:pPr>
            <w:r w:rsidRPr="00D03EEE">
              <w:rPr>
                <w:rFonts w:eastAsia="Arial" w:cs="Arial"/>
                <w:szCs w:val="24"/>
              </w:rPr>
              <w:t>74</w:t>
            </w:r>
          </w:p>
        </w:tc>
        <w:tc>
          <w:tcPr>
            <w:tcW w:w="0" w:type="auto"/>
            <w:tcBorders>
              <w:top w:val="single" w:sz="8" w:space="0" w:color="auto"/>
              <w:left w:val="single" w:sz="8" w:space="0" w:color="auto"/>
              <w:bottom w:val="single" w:sz="8" w:space="0" w:color="auto"/>
              <w:right w:val="single" w:sz="8" w:space="0" w:color="auto"/>
            </w:tcBorders>
          </w:tcPr>
          <w:p w14:paraId="36E815E6" w14:textId="064811BF" w:rsidR="005F2797" w:rsidRPr="00D03EEE" w:rsidRDefault="005F2797" w:rsidP="000C6DC8">
            <w:pPr>
              <w:rPr>
                <w:rFonts w:cs="Arial"/>
                <w:szCs w:val="24"/>
              </w:rPr>
            </w:pPr>
            <w:r w:rsidRPr="00D03EEE">
              <w:rPr>
                <w:rFonts w:eastAsia="Arial" w:cs="Arial"/>
                <w:szCs w:val="24"/>
              </w:rPr>
              <w:t>81</w:t>
            </w:r>
          </w:p>
        </w:tc>
        <w:tc>
          <w:tcPr>
            <w:tcW w:w="0" w:type="auto"/>
            <w:tcBorders>
              <w:top w:val="single" w:sz="8" w:space="0" w:color="auto"/>
              <w:left w:val="single" w:sz="8" w:space="0" w:color="auto"/>
              <w:bottom w:val="single" w:sz="8" w:space="0" w:color="auto"/>
              <w:right w:val="single" w:sz="8" w:space="0" w:color="auto"/>
            </w:tcBorders>
          </w:tcPr>
          <w:p w14:paraId="1C9F25CF" w14:textId="7F7CC379" w:rsidR="005F2797" w:rsidRPr="00D03EEE" w:rsidRDefault="005F2797" w:rsidP="000C6DC8">
            <w:pPr>
              <w:rPr>
                <w:rFonts w:cs="Arial"/>
                <w:szCs w:val="24"/>
              </w:rPr>
            </w:pPr>
            <w:r w:rsidRPr="00D03EEE">
              <w:rPr>
                <w:rFonts w:eastAsia="Arial" w:cs="Arial"/>
                <w:szCs w:val="24"/>
              </w:rPr>
              <w:t>40</w:t>
            </w:r>
          </w:p>
        </w:tc>
        <w:tc>
          <w:tcPr>
            <w:tcW w:w="0" w:type="auto"/>
            <w:tcBorders>
              <w:top w:val="single" w:sz="8" w:space="0" w:color="auto"/>
              <w:left w:val="single" w:sz="8" w:space="0" w:color="auto"/>
              <w:bottom w:val="single" w:sz="8" w:space="0" w:color="auto"/>
              <w:right w:val="single" w:sz="8" w:space="0" w:color="auto"/>
            </w:tcBorders>
          </w:tcPr>
          <w:p w14:paraId="0DF05D3C" w14:textId="4F1949DB" w:rsidR="005F2797" w:rsidRPr="00D03EEE" w:rsidRDefault="005F2797" w:rsidP="000C6DC8">
            <w:pPr>
              <w:rPr>
                <w:rFonts w:cs="Arial"/>
                <w:szCs w:val="24"/>
              </w:rPr>
            </w:pPr>
            <w:r w:rsidRPr="00D03EEE">
              <w:rPr>
                <w:rFonts w:eastAsia="Arial" w:cs="Arial"/>
                <w:szCs w:val="24"/>
              </w:rPr>
              <w:t>195</w:t>
            </w:r>
          </w:p>
        </w:tc>
        <w:tc>
          <w:tcPr>
            <w:tcW w:w="0" w:type="auto"/>
            <w:tcBorders>
              <w:top w:val="single" w:sz="8" w:space="0" w:color="auto"/>
              <w:left w:val="single" w:sz="8" w:space="0" w:color="auto"/>
              <w:bottom w:val="single" w:sz="8" w:space="0" w:color="auto"/>
              <w:right w:val="single" w:sz="8" w:space="0" w:color="auto"/>
            </w:tcBorders>
          </w:tcPr>
          <w:p w14:paraId="73B35042" w14:textId="489F6D11" w:rsidR="005F2797" w:rsidRPr="00D03EEE" w:rsidRDefault="005F2797" w:rsidP="000C6DC8">
            <w:pPr>
              <w:rPr>
                <w:rFonts w:cs="Arial"/>
                <w:szCs w:val="24"/>
              </w:rPr>
            </w:pPr>
            <w:r w:rsidRPr="00D03EEE">
              <w:rPr>
                <w:rFonts w:eastAsia="Arial" w:cs="Arial"/>
                <w:szCs w:val="24"/>
              </w:rPr>
              <w:t>2%</w:t>
            </w:r>
          </w:p>
        </w:tc>
      </w:tr>
      <w:tr w:rsidR="005F2797" w:rsidRPr="00D03EEE" w14:paraId="7074B01C" w14:textId="77777777" w:rsidTr="00B02B3D">
        <w:tc>
          <w:tcPr>
            <w:tcW w:w="0" w:type="auto"/>
            <w:tcBorders>
              <w:top w:val="single" w:sz="8" w:space="0" w:color="auto"/>
              <w:left w:val="single" w:sz="8" w:space="0" w:color="auto"/>
              <w:bottom w:val="single" w:sz="8" w:space="0" w:color="auto"/>
              <w:right w:val="single" w:sz="8" w:space="0" w:color="auto"/>
            </w:tcBorders>
          </w:tcPr>
          <w:p w14:paraId="40E2C839" w14:textId="77777777" w:rsidR="005F2797" w:rsidRPr="00D03EEE" w:rsidRDefault="005F2797" w:rsidP="000C6DC8">
            <w:pPr>
              <w:rPr>
                <w:rFonts w:cs="Arial"/>
                <w:szCs w:val="24"/>
              </w:rPr>
            </w:pPr>
            <w:r w:rsidRPr="00D03EEE">
              <w:rPr>
                <w:rFonts w:eastAsia="Arial" w:cs="Arial"/>
                <w:szCs w:val="24"/>
              </w:rPr>
              <w:t>of which tool - Republic of Ireland: Assessed to pay a contribution [note 1]</w:t>
            </w:r>
          </w:p>
        </w:tc>
        <w:tc>
          <w:tcPr>
            <w:tcW w:w="0" w:type="auto"/>
            <w:tcBorders>
              <w:top w:val="single" w:sz="8" w:space="0" w:color="auto"/>
              <w:left w:val="single" w:sz="8" w:space="0" w:color="auto"/>
              <w:bottom w:val="single" w:sz="8" w:space="0" w:color="auto"/>
              <w:right w:val="single" w:sz="8" w:space="0" w:color="auto"/>
            </w:tcBorders>
          </w:tcPr>
          <w:p w14:paraId="5727F8B0" w14:textId="77777777" w:rsidR="005F2797" w:rsidRPr="00D03EEE" w:rsidRDefault="005F2797" w:rsidP="000C6DC8">
            <w:pPr>
              <w:rPr>
                <w:rFonts w:cs="Arial"/>
                <w:szCs w:val="24"/>
              </w:rPr>
            </w:pPr>
            <w:r w:rsidRPr="00D03EEE">
              <w:rPr>
                <w:rFonts w:eastAsia="Arial" w:cs="Arial"/>
                <w:szCs w:val="24"/>
              </w:rPr>
              <w:t>2,172</w:t>
            </w:r>
          </w:p>
          <w:p w14:paraId="337C6ACE"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471A25C5" w14:textId="77777777" w:rsidR="005F2797" w:rsidRPr="00D03EEE" w:rsidRDefault="005F2797" w:rsidP="000C6DC8">
            <w:pPr>
              <w:rPr>
                <w:rFonts w:cs="Arial"/>
                <w:szCs w:val="24"/>
              </w:rPr>
            </w:pPr>
            <w:r w:rsidRPr="00D03EEE">
              <w:rPr>
                <w:rFonts w:eastAsia="Arial" w:cs="Arial"/>
                <w:szCs w:val="24"/>
              </w:rPr>
              <w:t>2,269</w:t>
            </w:r>
          </w:p>
          <w:p w14:paraId="5127D49A"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0013F037" w14:textId="77777777" w:rsidR="005F2797" w:rsidRPr="00D03EEE" w:rsidRDefault="005F2797" w:rsidP="000C6DC8">
            <w:pPr>
              <w:rPr>
                <w:rFonts w:cs="Arial"/>
                <w:szCs w:val="24"/>
              </w:rPr>
            </w:pPr>
            <w:r w:rsidRPr="00D03EEE">
              <w:rPr>
                <w:rFonts w:eastAsia="Arial" w:cs="Arial"/>
                <w:szCs w:val="24"/>
              </w:rPr>
              <w:t>1,279</w:t>
            </w:r>
          </w:p>
          <w:p w14:paraId="17F32069"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652F18FC" w14:textId="77777777" w:rsidR="005F2797" w:rsidRPr="00D03EEE" w:rsidRDefault="005F2797" w:rsidP="000C6DC8">
            <w:pPr>
              <w:rPr>
                <w:rFonts w:cs="Arial"/>
                <w:szCs w:val="24"/>
              </w:rPr>
            </w:pPr>
            <w:r w:rsidRPr="00D03EEE">
              <w:rPr>
                <w:rFonts w:eastAsia="Arial" w:cs="Arial"/>
                <w:szCs w:val="24"/>
              </w:rPr>
              <w:t>5,720</w:t>
            </w:r>
          </w:p>
          <w:p w14:paraId="5ADE75EC"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235EC876" w14:textId="77777777" w:rsidR="005F2797" w:rsidRPr="00D03EEE" w:rsidRDefault="005F2797" w:rsidP="000C6DC8">
            <w:pPr>
              <w:rPr>
                <w:rFonts w:cs="Arial"/>
                <w:szCs w:val="24"/>
              </w:rPr>
            </w:pPr>
            <w:r w:rsidRPr="00D03EEE">
              <w:rPr>
                <w:rFonts w:eastAsia="Arial" w:cs="Arial"/>
                <w:szCs w:val="24"/>
              </w:rPr>
              <w:t>58%</w:t>
            </w:r>
          </w:p>
          <w:p w14:paraId="063D15A9" w14:textId="77777777" w:rsidR="005F2797" w:rsidRPr="00D03EEE" w:rsidRDefault="005F2797" w:rsidP="000C6DC8">
            <w:pPr>
              <w:rPr>
                <w:rFonts w:cs="Arial"/>
                <w:szCs w:val="24"/>
              </w:rPr>
            </w:pPr>
            <w:r w:rsidRPr="00D03EEE">
              <w:rPr>
                <w:rFonts w:eastAsia="Arial" w:cs="Arial"/>
                <w:szCs w:val="24"/>
              </w:rPr>
              <w:t xml:space="preserve"> </w:t>
            </w:r>
          </w:p>
        </w:tc>
      </w:tr>
      <w:tr w:rsidR="005F2797" w:rsidRPr="00D03EEE" w14:paraId="167B8536" w14:textId="77777777" w:rsidTr="00B02B3D">
        <w:tc>
          <w:tcPr>
            <w:tcW w:w="0" w:type="auto"/>
            <w:tcBorders>
              <w:top w:val="single" w:sz="8" w:space="0" w:color="auto"/>
              <w:left w:val="single" w:sz="8" w:space="0" w:color="auto"/>
              <w:bottom w:val="single" w:sz="8" w:space="0" w:color="auto"/>
              <w:right w:val="single" w:sz="8" w:space="0" w:color="auto"/>
            </w:tcBorders>
          </w:tcPr>
          <w:p w14:paraId="6A811D4D" w14:textId="77777777" w:rsidR="005F2797" w:rsidRPr="00D03EEE" w:rsidRDefault="005F2797" w:rsidP="000C6DC8">
            <w:pPr>
              <w:rPr>
                <w:rFonts w:cs="Arial"/>
                <w:szCs w:val="24"/>
              </w:rPr>
            </w:pPr>
            <w:r w:rsidRPr="00D03EEE">
              <w:rPr>
                <w:rFonts w:eastAsia="Arial" w:cs="Arial"/>
                <w:szCs w:val="24"/>
              </w:rPr>
              <w:t>of which tool - DCO/CFT: Set to not pay any contribution (see Table 2)</w:t>
            </w:r>
          </w:p>
        </w:tc>
        <w:tc>
          <w:tcPr>
            <w:tcW w:w="0" w:type="auto"/>
            <w:tcBorders>
              <w:top w:val="single" w:sz="8" w:space="0" w:color="auto"/>
              <w:left w:val="single" w:sz="8" w:space="0" w:color="auto"/>
              <w:bottom w:val="single" w:sz="8" w:space="0" w:color="auto"/>
              <w:right w:val="single" w:sz="8" w:space="0" w:color="auto"/>
            </w:tcBorders>
          </w:tcPr>
          <w:p w14:paraId="764DFAE5" w14:textId="77777777" w:rsidR="005F2797" w:rsidRPr="00D03EEE" w:rsidRDefault="005F2797" w:rsidP="000C6DC8">
            <w:pPr>
              <w:rPr>
                <w:rFonts w:cs="Arial"/>
                <w:szCs w:val="24"/>
              </w:rPr>
            </w:pPr>
            <w:r w:rsidRPr="00D03EEE">
              <w:rPr>
                <w:rFonts w:eastAsia="Arial" w:cs="Arial"/>
                <w:szCs w:val="24"/>
              </w:rPr>
              <w:t>3,265</w:t>
            </w:r>
          </w:p>
          <w:p w14:paraId="289F20EC"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7BBECFC7" w14:textId="77777777" w:rsidR="005F2797" w:rsidRPr="00D03EEE" w:rsidRDefault="005F2797" w:rsidP="000C6DC8">
            <w:pPr>
              <w:rPr>
                <w:rFonts w:cs="Arial"/>
                <w:szCs w:val="24"/>
              </w:rPr>
            </w:pPr>
            <w:r w:rsidRPr="00D03EEE">
              <w:rPr>
                <w:rFonts w:eastAsia="Arial" w:cs="Arial"/>
                <w:szCs w:val="24"/>
              </w:rPr>
              <w:t>3,207</w:t>
            </w:r>
          </w:p>
          <w:p w14:paraId="62360186"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4CE551D0" w14:textId="77777777" w:rsidR="005F2797" w:rsidRPr="00D03EEE" w:rsidRDefault="005F2797" w:rsidP="000C6DC8">
            <w:pPr>
              <w:rPr>
                <w:rFonts w:cs="Arial"/>
                <w:szCs w:val="24"/>
              </w:rPr>
            </w:pPr>
            <w:r w:rsidRPr="00D03EEE">
              <w:rPr>
                <w:rFonts w:eastAsia="Arial" w:cs="Arial"/>
                <w:szCs w:val="24"/>
              </w:rPr>
              <w:t>1,951</w:t>
            </w:r>
          </w:p>
          <w:p w14:paraId="14807421"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1EF3C81E" w14:textId="77777777" w:rsidR="005F2797" w:rsidRPr="00D03EEE" w:rsidRDefault="005F2797" w:rsidP="000C6DC8">
            <w:pPr>
              <w:rPr>
                <w:rFonts w:cs="Arial"/>
                <w:szCs w:val="24"/>
              </w:rPr>
            </w:pPr>
            <w:r w:rsidRPr="00D03EEE">
              <w:rPr>
                <w:rFonts w:eastAsia="Arial" w:cs="Arial"/>
                <w:szCs w:val="24"/>
              </w:rPr>
              <w:t>8,423</w:t>
            </w:r>
          </w:p>
          <w:p w14:paraId="0950EE3C"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00D02448" w14:textId="77777777" w:rsidR="005F2797" w:rsidRPr="00D03EEE" w:rsidRDefault="005F2797" w:rsidP="000C6DC8">
            <w:pPr>
              <w:rPr>
                <w:rFonts w:cs="Arial"/>
                <w:szCs w:val="24"/>
              </w:rPr>
            </w:pPr>
            <w:r w:rsidRPr="00D03EEE">
              <w:rPr>
                <w:rFonts w:eastAsia="Arial" w:cs="Arial"/>
                <w:szCs w:val="24"/>
              </w:rPr>
              <w:t>85%</w:t>
            </w:r>
          </w:p>
          <w:p w14:paraId="4C0C7F46" w14:textId="77777777" w:rsidR="005F2797" w:rsidRPr="00D03EEE" w:rsidRDefault="005F2797" w:rsidP="000C6DC8">
            <w:pPr>
              <w:rPr>
                <w:rFonts w:cs="Arial"/>
                <w:szCs w:val="24"/>
              </w:rPr>
            </w:pPr>
            <w:r w:rsidRPr="00D03EEE">
              <w:rPr>
                <w:rFonts w:eastAsia="Arial" w:cs="Arial"/>
                <w:szCs w:val="24"/>
              </w:rPr>
              <w:t xml:space="preserve"> </w:t>
            </w:r>
          </w:p>
        </w:tc>
      </w:tr>
      <w:tr w:rsidR="005F2797" w:rsidRPr="00D03EEE" w14:paraId="2BD4100A" w14:textId="77777777" w:rsidTr="00B02B3D">
        <w:tc>
          <w:tcPr>
            <w:tcW w:w="0" w:type="auto"/>
            <w:tcBorders>
              <w:top w:val="single" w:sz="8" w:space="0" w:color="auto"/>
              <w:left w:val="single" w:sz="8" w:space="0" w:color="auto"/>
              <w:bottom w:val="single" w:sz="8" w:space="0" w:color="auto"/>
              <w:right w:val="single" w:sz="8" w:space="0" w:color="auto"/>
            </w:tcBorders>
          </w:tcPr>
          <w:p w14:paraId="594F2B36" w14:textId="02091AA6" w:rsidR="005F2797" w:rsidRPr="00B02B3D" w:rsidRDefault="005F2797" w:rsidP="00B02B3D">
            <w:pPr>
              <w:rPr>
                <w:rFonts w:cs="Arial"/>
                <w:szCs w:val="24"/>
              </w:rPr>
            </w:pPr>
            <w:r w:rsidRPr="00D03EEE">
              <w:rPr>
                <w:rFonts w:eastAsia="Arial" w:cs="Arial"/>
                <w:szCs w:val="24"/>
              </w:rPr>
              <w:t>of which tool - Canada: Assessed to not pay any contribution</w:t>
            </w:r>
          </w:p>
        </w:tc>
        <w:tc>
          <w:tcPr>
            <w:tcW w:w="0" w:type="auto"/>
            <w:tcBorders>
              <w:top w:val="single" w:sz="8" w:space="0" w:color="auto"/>
              <w:left w:val="single" w:sz="8" w:space="0" w:color="auto"/>
              <w:bottom w:val="single" w:sz="8" w:space="0" w:color="auto"/>
              <w:right w:val="single" w:sz="8" w:space="0" w:color="auto"/>
            </w:tcBorders>
          </w:tcPr>
          <w:p w14:paraId="0A968DD4" w14:textId="3EF4E750" w:rsidR="005F2797" w:rsidRPr="00D03EEE" w:rsidRDefault="005F2797" w:rsidP="000C6DC8">
            <w:pPr>
              <w:rPr>
                <w:rFonts w:cs="Arial"/>
                <w:szCs w:val="24"/>
              </w:rPr>
            </w:pPr>
            <w:r w:rsidRPr="00D03EEE">
              <w:rPr>
                <w:rFonts w:eastAsia="Arial" w:cs="Arial"/>
                <w:szCs w:val="24"/>
              </w:rPr>
              <w:t>3,216</w:t>
            </w:r>
          </w:p>
        </w:tc>
        <w:tc>
          <w:tcPr>
            <w:tcW w:w="0" w:type="auto"/>
            <w:tcBorders>
              <w:top w:val="single" w:sz="8" w:space="0" w:color="auto"/>
              <w:left w:val="single" w:sz="8" w:space="0" w:color="auto"/>
              <w:bottom w:val="single" w:sz="8" w:space="0" w:color="auto"/>
              <w:right w:val="single" w:sz="8" w:space="0" w:color="auto"/>
            </w:tcBorders>
          </w:tcPr>
          <w:p w14:paraId="4CCBA6ED" w14:textId="77777777" w:rsidR="005F2797" w:rsidRPr="00D03EEE" w:rsidRDefault="005F2797" w:rsidP="000C6DC8">
            <w:pPr>
              <w:rPr>
                <w:rFonts w:cs="Arial"/>
                <w:szCs w:val="24"/>
              </w:rPr>
            </w:pPr>
            <w:r w:rsidRPr="00D03EEE">
              <w:rPr>
                <w:rFonts w:eastAsia="Arial" w:cs="Arial"/>
                <w:szCs w:val="24"/>
              </w:rPr>
              <w:t>3,089</w:t>
            </w:r>
          </w:p>
          <w:p w14:paraId="2A069C39" w14:textId="0EFCB460"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5AA3F678" w14:textId="77777777" w:rsidR="005F2797" w:rsidRPr="00D03EEE" w:rsidRDefault="005F2797" w:rsidP="000C6DC8">
            <w:pPr>
              <w:rPr>
                <w:rFonts w:cs="Arial"/>
                <w:szCs w:val="24"/>
              </w:rPr>
            </w:pPr>
            <w:r w:rsidRPr="00D03EEE">
              <w:rPr>
                <w:rFonts w:eastAsia="Arial" w:cs="Arial"/>
                <w:szCs w:val="24"/>
              </w:rPr>
              <w:t>1,724</w:t>
            </w:r>
          </w:p>
          <w:p w14:paraId="5F334989"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4D98F4D8" w14:textId="77777777" w:rsidR="005F2797" w:rsidRPr="00D03EEE" w:rsidRDefault="005F2797" w:rsidP="000C6DC8">
            <w:pPr>
              <w:rPr>
                <w:rFonts w:cs="Arial"/>
                <w:szCs w:val="24"/>
              </w:rPr>
            </w:pPr>
            <w:r w:rsidRPr="00D03EEE">
              <w:rPr>
                <w:rFonts w:eastAsia="Arial" w:cs="Arial"/>
                <w:szCs w:val="24"/>
              </w:rPr>
              <w:t>8,029</w:t>
            </w:r>
          </w:p>
          <w:p w14:paraId="7FF5E7C5"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17C96096" w14:textId="77777777" w:rsidR="005F2797" w:rsidRPr="00D03EEE" w:rsidRDefault="005F2797" w:rsidP="000C6DC8">
            <w:pPr>
              <w:rPr>
                <w:rFonts w:cs="Arial"/>
                <w:szCs w:val="24"/>
              </w:rPr>
            </w:pPr>
            <w:r w:rsidRPr="00D03EEE">
              <w:rPr>
                <w:rFonts w:eastAsia="Arial" w:cs="Arial"/>
                <w:szCs w:val="24"/>
              </w:rPr>
              <w:t>81%</w:t>
            </w:r>
          </w:p>
          <w:p w14:paraId="238B2340" w14:textId="77777777" w:rsidR="005F2797" w:rsidRPr="00D03EEE" w:rsidRDefault="005F2797" w:rsidP="000C6DC8">
            <w:pPr>
              <w:rPr>
                <w:rFonts w:cs="Arial"/>
                <w:szCs w:val="24"/>
              </w:rPr>
            </w:pPr>
            <w:r w:rsidRPr="00D03EEE">
              <w:rPr>
                <w:rFonts w:eastAsia="Arial" w:cs="Arial"/>
                <w:szCs w:val="24"/>
              </w:rPr>
              <w:t xml:space="preserve"> </w:t>
            </w:r>
          </w:p>
        </w:tc>
      </w:tr>
      <w:tr w:rsidR="005F2797" w:rsidRPr="00D03EEE" w14:paraId="417A359B" w14:textId="77777777" w:rsidTr="00B02B3D">
        <w:tc>
          <w:tcPr>
            <w:tcW w:w="0" w:type="auto"/>
            <w:tcBorders>
              <w:top w:val="single" w:sz="8" w:space="0" w:color="auto"/>
              <w:left w:val="single" w:sz="8" w:space="0" w:color="auto"/>
              <w:bottom w:val="single" w:sz="8" w:space="0" w:color="auto"/>
              <w:right w:val="single" w:sz="8" w:space="0" w:color="auto"/>
            </w:tcBorders>
          </w:tcPr>
          <w:p w14:paraId="0178158C" w14:textId="77777777" w:rsidR="005F2797" w:rsidRPr="00D03EEE" w:rsidRDefault="005F2797" w:rsidP="000C6DC8">
            <w:pPr>
              <w:rPr>
                <w:rFonts w:cs="Arial"/>
                <w:szCs w:val="24"/>
              </w:rPr>
            </w:pPr>
            <w:r w:rsidRPr="00D03EEE">
              <w:rPr>
                <w:rFonts w:eastAsia="Arial" w:cs="Arial"/>
                <w:szCs w:val="24"/>
              </w:rPr>
              <w:t>of which tool - Australia: Assessed to not pay any contribution</w:t>
            </w:r>
          </w:p>
        </w:tc>
        <w:tc>
          <w:tcPr>
            <w:tcW w:w="0" w:type="auto"/>
            <w:tcBorders>
              <w:top w:val="single" w:sz="8" w:space="0" w:color="auto"/>
              <w:left w:val="single" w:sz="8" w:space="0" w:color="auto"/>
              <w:bottom w:val="single" w:sz="8" w:space="0" w:color="auto"/>
              <w:right w:val="single" w:sz="8" w:space="0" w:color="auto"/>
            </w:tcBorders>
          </w:tcPr>
          <w:p w14:paraId="76DF3B07" w14:textId="77777777" w:rsidR="005F2797" w:rsidRPr="00D03EEE" w:rsidRDefault="005F2797" w:rsidP="000C6DC8">
            <w:pPr>
              <w:rPr>
                <w:rFonts w:cs="Arial"/>
                <w:szCs w:val="24"/>
              </w:rPr>
            </w:pPr>
            <w:r w:rsidRPr="00D03EEE">
              <w:rPr>
                <w:rFonts w:eastAsia="Arial" w:cs="Arial"/>
                <w:szCs w:val="24"/>
              </w:rPr>
              <w:t>3,793</w:t>
            </w:r>
          </w:p>
          <w:p w14:paraId="6CE86AF6"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2B5C48A5" w14:textId="77777777" w:rsidR="005F2797" w:rsidRPr="00D03EEE" w:rsidRDefault="005F2797" w:rsidP="000C6DC8">
            <w:pPr>
              <w:rPr>
                <w:rFonts w:cs="Arial"/>
                <w:szCs w:val="24"/>
              </w:rPr>
            </w:pPr>
            <w:r w:rsidRPr="00D03EEE">
              <w:rPr>
                <w:rFonts w:eastAsia="Arial" w:cs="Arial"/>
                <w:szCs w:val="24"/>
              </w:rPr>
              <w:t>3,744</w:t>
            </w:r>
          </w:p>
          <w:p w14:paraId="0E5B9D5D"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6BB0ADD5" w14:textId="77777777" w:rsidR="005F2797" w:rsidRPr="00D03EEE" w:rsidRDefault="005F2797" w:rsidP="000C6DC8">
            <w:pPr>
              <w:rPr>
                <w:rFonts w:cs="Arial"/>
                <w:szCs w:val="24"/>
              </w:rPr>
            </w:pPr>
            <w:r w:rsidRPr="00D03EEE">
              <w:rPr>
                <w:rFonts w:eastAsia="Arial" w:cs="Arial"/>
                <w:szCs w:val="24"/>
              </w:rPr>
              <w:t>2,123</w:t>
            </w:r>
          </w:p>
          <w:p w14:paraId="7409B54B"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337CF442" w14:textId="77777777" w:rsidR="005F2797" w:rsidRPr="00D03EEE" w:rsidRDefault="005F2797" w:rsidP="000C6DC8">
            <w:pPr>
              <w:rPr>
                <w:rFonts w:cs="Arial"/>
                <w:szCs w:val="24"/>
              </w:rPr>
            </w:pPr>
            <w:r w:rsidRPr="00D03EEE">
              <w:rPr>
                <w:rFonts w:eastAsia="Arial" w:cs="Arial"/>
                <w:szCs w:val="24"/>
              </w:rPr>
              <w:t>9,660</w:t>
            </w:r>
          </w:p>
          <w:p w14:paraId="5BB3651C"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0C3ADAE9" w14:textId="77777777" w:rsidR="005F2797" w:rsidRPr="00D03EEE" w:rsidRDefault="005F2797" w:rsidP="000C6DC8">
            <w:pPr>
              <w:rPr>
                <w:rFonts w:cs="Arial"/>
                <w:szCs w:val="24"/>
              </w:rPr>
            </w:pPr>
            <w:r w:rsidRPr="00D03EEE">
              <w:rPr>
                <w:rFonts w:eastAsia="Arial" w:cs="Arial"/>
                <w:szCs w:val="24"/>
              </w:rPr>
              <w:t>98%</w:t>
            </w:r>
          </w:p>
          <w:p w14:paraId="48ECDA29" w14:textId="77777777" w:rsidR="005F2797" w:rsidRPr="00D03EEE" w:rsidRDefault="005F2797" w:rsidP="000C6DC8">
            <w:pPr>
              <w:rPr>
                <w:rFonts w:cs="Arial"/>
                <w:szCs w:val="24"/>
              </w:rPr>
            </w:pPr>
            <w:r w:rsidRPr="00D03EEE">
              <w:rPr>
                <w:rFonts w:eastAsia="Arial" w:cs="Arial"/>
                <w:szCs w:val="24"/>
              </w:rPr>
              <w:t xml:space="preserve"> </w:t>
            </w:r>
          </w:p>
        </w:tc>
      </w:tr>
      <w:tr w:rsidR="005F2797" w:rsidRPr="00D03EEE" w14:paraId="3BCEA400" w14:textId="77777777" w:rsidTr="00B02B3D">
        <w:tc>
          <w:tcPr>
            <w:tcW w:w="0" w:type="auto"/>
            <w:tcBorders>
              <w:top w:val="single" w:sz="8" w:space="0" w:color="auto"/>
              <w:left w:val="single" w:sz="8" w:space="0" w:color="auto"/>
              <w:bottom w:val="single" w:sz="8" w:space="0" w:color="auto"/>
              <w:right w:val="single" w:sz="8" w:space="0" w:color="auto"/>
            </w:tcBorders>
          </w:tcPr>
          <w:p w14:paraId="08674591" w14:textId="77777777" w:rsidR="005F2797" w:rsidRPr="00D03EEE" w:rsidRDefault="005F2797" w:rsidP="000C6DC8">
            <w:pPr>
              <w:rPr>
                <w:rFonts w:cs="Arial"/>
                <w:szCs w:val="24"/>
              </w:rPr>
            </w:pPr>
            <w:r w:rsidRPr="00D03EEE">
              <w:rPr>
                <w:rFonts w:eastAsia="Arial" w:cs="Arial"/>
                <w:szCs w:val="24"/>
              </w:rPr>
              <w:lastRenderedPageBreak/>
              <w:t>of which tool - Republic of Ireland: Assessed to not pay any contribution [note 1]</w:t>
            </w:r>
          </w:p>
        </w:tc>
        <w:tc>
          <w:tcPr>
            <w:tcW w:w="0" w:type="auto"/>
            <w:tcBorders>
              <w:top w:val="single" w:sz="8" w:space="0" w:color="auto"/>
              <w:left w:val="single" w:sz="8" w:space="0" w:color="auto"/>
              <w:bottom w:val="single" w:sz="8" w:space="0" w:color="auto"/>
              <w:right w:val="single" w:sz="8" w:space="0" w:color="auto"/>
            </w:tcBorders>
          </w:tcPr>
          <w:p w14:paraId="7CE47F5F" w14:textId="77777777" w:rsidR="005F2797" w:rsidRPr="00D03EEE" w:rsidRDefault="005F2797" w:rsidP="000C6DC8">
            <w:pPr>
              <w:rPr>
                <w:rFonts w:cs="Arial"/>
                <w:szCs w:val="24"/>
              </w:rPr>
            </w:pPr>
            <w:r w:rsidRPr="00D03EEE">
              <w:rPr>
                <w:rFonts w:eastAsia="Arial" w:cs="Arial"/>
                <w:szCs w:val="24"/>
              </w:rPr>
              <w:t>1,503</w:t>
            </w:r>
          </w:p>
          <w:p w14:paraId="64F76C73"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03086B3F" w14:textId="77777777" w:rsidR="005F2797" w:rsidRPr="00D03EEE" w:rsidRDefault="005F2797" w:rsidP="000C6DC8">
            <w:pPr>
              <w:rPr>
                <w:rFonts w:cs="Arial"/>
                <w:szCs w:val="24"/>
              </w:rPr>
            </w:pPr>
            <w:r w:rsidRPr="00D03EEE">
              <w:rPr>
                <w:rFonts w:eastAsia="Arial" w:cs="Arial"/>
                <w:szCs w:val="24"/>
              </w:rPr>
              <w:t>1,370</w:t>
            </w:r>
          </w:p>
          <w:p w14:paraId="7506FFD7"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2891BE8A" w14:textId="77777777" w:rsidR="005F2797" w:rsidRPr="00D03EEE" w:rsidRDefault="005F2797" w:rsidP="000C6DC8">
            <w:pPr>
              <w:rPr>
                <w:rFonts w:cs="Arial"/>
                <w:szCs w:val="24"/>
              </w:rPr>
            </w:pPr>
            <w:r w:rsidRPr="00D03EEE">
              <w:rPr>
                <w:rFonts w:eastAsia="Arial" w:cs="Arial"/>
                <w:szCs w:val="24"/>
              </w:rPr>
              <w:t>765</w:t>
            </w:r>
          </w:p>
          <w:p w14:paraId="7A478008"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2407B32F" w14:textId="77777777" w:rsidR="005F2797" w:rsidRPr="00D03EEE" w:rsidRDefault="005F2797" w:rsidP="000C6DC8">
            <w:pPr>
              <w:rPr>
                <w:rFonts w:cs="Arial"/>
                <w:szCs w:val="24"/>
              </w:rPr>
            </w:pPr>
            <w:r w:rsidRPr="00D03EEE">
              <w:rPr>
                <w:rFonts w:eastAsia="Arial" w:cs="Arial"/>
                <w:szCs w:val="24"/>
              </w:rPr>
              <w:t>3,638</w:t>
            </w:r>
          </w:p>
          <w:p w14:paraId="5671EAB7"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6B4643BF" w14:textId="77777777" w:rsidR="005F2797" w:rsidRPr="00D03EEE" w:rsidRDefault="005F2797" w:rsidP="000C6DC8">
            <w:pPr>
              <w:rPr>
                <w:rFonts w:cs="Arial"/>
                <w:szCs w:val="24"/>
              </w:rPr>
            </w:pPr>
            <w:r w:rsidRPr="00D03EEE">
              <w:rPr>
                <w:rFonts w:eastAsia="Arial" w:cs="Arial"/>
                <w:szCs w:val="24"/>
              </w:rPr>
              <w:t>37%</w:t>
            </w:r>
          </w:p>
          <w:p w14:paraId="01A1EB5B" w14:textId="77777777" w:rsidR="005F2797" w:rsidRPr="00D03EEE" w:rsidRDefault="005F2797" w:rsidP="000C6DC8">
            <w:pPr>
              <w:rPr>
                <w:rFonts w:cs="Arial"/>
                <w:szCs w:val="24"/>
              </w:rPr>
            </w:pPr>
            <w:r w:rsidRPr="00D03EEE">
              <w:rPr>
                <w:rFonts w:eastAsia="Arial" w:cs="Arial"/>
                <w:szCs w:val="24"/>
              </w:rPr>
              <w:t xml:space="preserve"> </w:t>
            </w:r>
          </w:p>
        </w:tc>
      </w:tr>
      <w:tr w:rsidR="005F2797" w:rsidRPr="00D03EEE" w14:paraId="0E3B52F7" w14:textId="77777777" w:rsidTr="00B02B3D">
        <w:tc>
          <w:tcPr>
            <w:tcW w:w="0" w:type="auto"/>
            <w:tcBorders>
              <w:top w:val="single" w:sz="8" w:space="0" w:color="auto"/>
              <w:left w:val="single" w:sz="8" w:space="0" w:color="auto"/>
              <w:bottom w:val="single" w:sz="8" w:space="0" w:color="auto"/>
              <w:right w:val="single" w:sz="8" w:space="0" w:color="auto"/>
            </w:tcBorders>
          </w:tcPr>
          <w:p w14:paraId="687520FB" w14:textId="77777777" w:rsidR="005F2797" w:rsidRPr="00D03EEE" w:rsidRDefault="005F2797" w:rsidP="000C6DC8">
            <w:pPr>
              <w:rPr>
                <w:rFonts w:cs="Arial"/>
                <w:szCs w:val="24"/>
              </w:rPr>
            </w:pPr>
            <w:r w:rsidRPr="00D03EEE">
              <w:rPr>
                <w:rFonts w:eastAsia="Arial" w:cs="Arial"/>
                <w:szCs w:val="24"/>
              </w:rPr>
              <w:t>of which tool - Republic of Ireland: Unable to assess [note 1]</w:t>
            </w:r>
          </w:p>
        </w:tc>
        <w:tc>
          <w:tcPr>
            <w:tcW w:w="0" w:type="auto"/>
            <w:tcBorders>
              <w:top w:val="single" w:sz="8" w:space="0" w:color="auto"/>
              <w:left w:val="single" w:sz="8" w:space="0" w:color="auto"/>
              <w:bottom w:val="single" w:sz="8" w:space="0" w:color="auto"/>
              <w:right w:val="single" w:sz="8" w:space="0" w:color="auto"/>
            </w:tcBorders>
          </w:tcPr>
          <w:p w14:paraId="707F378A" w14:textId="77777777" w:rsidR="005F2797" w:rsidRPr="00D03EEE" w:rsidRDefault="005F2797" w:rsidP="000C6DC8">
            <w:pPr>
              <w:rPr>
                <w:rFonts w:cs="Arial"/>
                <w:szCs w:val="24"/>
              </w:rPr>
            </w:pPr>
            <w:r w:rsidRPr="00D03EEE">
              <w:rPr>
                <w:rFonts w:eastAsia="Arial" w:cs="Arial"/>
                <w:szCs w:val="24"/>
              </w:rPr>
              <w:t>192</w:t>
            </w:r>
          </w:p>
          <w:p w14:paraId="5B829AB9"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3C769322" w14:textId="77777777" w:rsidR="005F2797" w:rsidRPr="00D03EEE" w:rsidRDefault="005F2797" w:rsidP="000C6DC8">
            <w:pPr>
              <w:rPr>
                <w:rFonts w:cs="Arial"/>
                <w:szCs w:val="24"/>
              </w:rPr>
            </w:pPr>
            <w:r w:rsidRPr="00D03EEE">
              <w:rPr>
                <w:rFonts w:eastAsia="Arial" w:cs="Arial"/>
                <w:szCs w:val="24"/>
              </w:rPr>
              <w:t>186</w:t>
            </w:r>
          </w:p>
          <w:p w14:paraId="2BF756B8"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4AC6A2BD" w14:textId="77777777" w:rsidR="005F2797" w:rsidRPr="00D03EEE" w:rsidRDefault="005F2797" w:rsidP="000C6DC8">
            <w:pPr>
              <w:rPr>
                <w:rFonts w:cs="Arial"/>
                <w:szCs w:val="24"/>
              </w:rPr>
            </w:pPr>
            <w:r w:rsidRPr="00D03EEE">
              <w:rPr>
                <w:rFonts w:eastAsia="Arial" w:cs="Arial"/>
                <w:szCs w:val="24"/>
              </w:rPr>
              <w:t>119</w:t>
            </w:r>
          </w:p>
          <w:p w14:paraId="415E1AF4"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523CEADD" w14:textId="77777777" w:rsidR="005F2797" w:rsidRPr="00D03EEE" w:rsidRDefault="005F2797" w:rsidP="000C6DC8">
            <w:pPr>
              <w:rPr>
                <w:rFonts w:cs="Arial"/>
                <w:szCs w:val="24"/>
              </w:rPr>
            </w:pPr>
            <w:r w:rsidRPr="00D03EEE">
              <w:rPr>
                <w:rFonts w:eastAsia="Arial" w:cs="Arial"/>
                <w:szCs w:val="24"/>
              </w:rPr>
              <w:t>497</w:t>
            </w:r>
          </w:p>
          <w:p w14:paraId="060B1387" w14:textId="77777777" w:rsidR="005F2797" w:rsidRPr="00D03EEE" w:rsidRDefault="005F2797" w:rsidP="000C6DC8">
            <w:pPr>
              <w:rPr>
                <w:rFonts w:cs="Arial"/>
                <w:szCs w:val="24"/>
              </w:rPr>
            </w:pPr>
            <w:r w:rsidRPr="00D03EEE">
              <w:rPr>
                <w:rFonts w:eastAsia="Arial" w:cs="Arial"/>
                <w:szCs w:val="24"/>
              </w:rPr>
              <w:t xml:space="preserve"> </w:t>
            </w:r>
          </w:p>
        </w:tc>
        <w:tc>
          <w:tcPr>
            <w:tcW w:w="0" w:type="auto"/>
            <w:tcBorders>
              <w:top w:val="single" w:sz="8" w:space="0" w:color="auto"/>
              <w:left w:val="single" w:sz="8" w:space="0" w:color="auto"/>
              <w:bottom w:val="single" w:sz="8" w:space="0" w:color="auto"/>
              <w:right w:val="single" w:sz="8" w:space="0" w:color="auto"/>
            </w:tcBorders>
          </w:tcPr>
          <w:p w14:paraId="71F8E374" w14:textId="77777777" w:rsidR="005F2797" w:rsidRPr="00D03EEE" w:rsidRDefault="005F2797" w:rsidP="000C6DC8">
            <w:pPr>
              <w:rPr>
                <w:rFonts w:cs="Arial"/>
                <w:szCs w:val="24"/>
              </w:rPr>
            </w:pPr>
            <w:r w:rsidRPr="00D03EEE">
              <w:rPr>
                <w:rFonts w:eastAsia="Arial" w:cs="Arial"/>
                <w:szCs w:val="24"/>
              </w:rPr>
              <w:t>5%</w:t>
            </w:r>
          </w:p>
          <w:p w14:paraId="743AC8EE" w14:textId="77777777" w:rsidR="005F2797" w:rsidRPr="00D03EEE" w:rsidRDefault="005F2797" w:rsidP="000C6DC8">
            <w:pPr>
              <w:rPr>
                <w:rFonts w:cs="Arial"/>
                <w:szCs w:val="24"/>
              </w:rPr>
            </w:pPr>
            <w:r w:rsidRPr="00D03EEE">
              <w:rPr>
                <w:rFonts w:eastAsia="Arial" w:cs="Arial"/>
                <w:szCs w:val="24"/>
              </w:rPr>
              <w:t xml:space="preserve"> </w:t>
            </w:r>
          </w:p>
        </w:tc>
      </w:tr>
    </w:tbl>
    <w:p w14:paraId="54F5435D" w14:textId="34E023EA" w:rsidR="00F12178" w:rsidRPr="005C02F4" w:rsidRDefault="00624379" w:rsidP="000C6DC8">
      <w:r>
        <w:t>Full notes for the above table</w:t>
      </w:r>
      <w:r w:rsidR="00F12178">
        <w:t xml:space="preserve"> can be found on the AiB website at the following link: </w:t>
      </w:r>
      <w:hyperlink r:id="rId9" w:history="1">
        <w:r w:rsidR="00F12178" w:rsidRPr="00F12178">
          <w:rPr>
            <w:rStyle w:val="Hyperlink"/>
          </w:rPr>
          <w:t>Ad-hoc statistical release ID 11</w:t>
        </w:r>
      </w:hyperlink>
      <w:r w:rsidR="00F12178">
        <w:t>.</w:t>
      </w:r>
    </w:p>
    <w:p w14:paraId="61D37E5F" w14:textId="1BAE12DF" w:rsidR="005F2797" w:rsidRPr="00B02B3D" w:rsidRDefault="005F2797" w:rsidP="00B02B3D">
      <w:pPr>
        <w:rPr>
          <w:b/>
        </w:rPr>
      </w:pPr>
      <w:r w:rsidRPr="00B02B3D">
        <w:rPr>
          <w:rFonts w:eastAsia="Arial"/>
          <w:b/>
        </w:rPr>
        <w:t>Table 2</w:t>
      </w:r>
      <w:r w:rsidR="00A04479" w:rsidRPr="00B02B3D">
        <w:rPr>
          <w:b/>
        </w:rPr>
        <w:t xml:space="preserve">: </w:t>
      </w:r>
      <w:r w:rsidRPr="00B02B3D">
        <w:rPr>
          <w:rFonts w:eastAsia="Arial"/>
          <w:b/>
        </w:rPr>
        <w:t>Number of debtor contribution order (DCO) for debtor applications by financial year of the awarded date</w:t>
      </w:r>
    </w:p>
    <w:tbl>
      <w:tblPr>
        <w:tblStyle w:val="TableGrid"/>
        <w:tblW w:w="0" w:type="auto"/>
        <w:tblInd w:w="0" w:type="dxa"/>
        <w:tblLook w:val="04A0" w:firstRow="1" w:lastRow="0" w:firstColumn="1" w:lastColumn="0" w:noHBand="0" w:noVBand="1"/>
        <w:tblCaption w:val="Table 2: Number of debtor contribution order (DCO) for debtor applications by financial year of the awarded date"/>
        <w:tblDescription w:val="The number of debtor contribution order (DCO) for debtor applications by financial year of the awarded date for 2018-19, 2019-20 and 2020-21."/>
      </w:tblPr>
      <w:tblGrid>
        <w:gridCol w:w="3534"/>
        <w:gridCol w:w="830"/>
        <w:gridCol w:w="879"/>
        <w:gridCol w:w="879"/>
        <w:gridCol w:w="1030"/>
        <w:gridCol w:w="1854"/>
      </w:tblGrid>
      <w:tr w:rsidR="005F2797" w:rsidRPr="00D03EEE" w14:paraId="2590DD25" w14:textId="77777777" w:rsidTr="00F12178">
        <w:trPr>
          <w:cantSplit/>
          <w:tblHeader/>
        </w:trPr>
        <w:tc>
          <w:tcPr>
            <w:tcW w:w="3534" w:type="dxa"/>
            <w:tcBorders>
              <w:top w:val="single" w:sz="8" w:space="0" w:color="auto"/>
              <w:left w:val="single" w:sz="8" w:space="0" w:color="auto"/>
              <w:bottom w:val="single" w:sz="8" w:space="0" w:color="auto"/>
              <w:right w:val="single" w:sz="8" w:space="0" w:color="auto"/>
            </w:tcBorders>
          </w:tcPr>
          <w:p w14:paraId="68C4B962" w14:textId="04AF9E17" w:rsidR="005F2797" w:rsidRPr="00B02B3D" w:rsidRDefault="005F2797" w:rsidP="00B02B3D">
            <w:pPr>
              <w:rPr>
                <w:b/>
              </w:rPr>
            </w:pPr>
            <w:r w:rsidRPr="00B02B3D">
              <w:rPr>
                <w:rFonts w:eastAsia="Arial"/>
                <w:b/>
                <w:bCs/>
              </w:rPr>
              <w:t>Financial year of the awarded date</w:t>
            </w:r>
          </w:p>
        </w:tc>
        <w:tc>
          <w:tcPr>
            <w:tcW w:w="830" w:type="dxa"/>
            <w:tcBorders>
              <w:top w:val="single" w:sz="8" w:space="0" w:color="auto"/>
              <w:left w:val="single" w:sz="8" w:space="0" w:color="auto"/>
              <w:bottom w:val="single" w:sz="8" w:space="0" w:color="auto"/>
              <w:right w:val="single" w:sz="8" w:space="0" w:color="auto"/>
            </w:tcBorders>
          </w:tcPr>
          <w:p w14:paraId="10E64212" w14:textId="16E80B78" w:rsidR="005F2797" w:rsidRPr="00B02B3D" w:rsidRDefault="005F2797" w:rsidP="00B02B3D">
            <w:pPr>
              <w:rPr>
                <w:b/>
              </w:rPr>
            </w:pPr>
            <w:r w:rsidRPr="00B02B3D">
              <w:rPr>
                <w:rFonts w:eastAsia="Arial"/>
                <w:b/>
                <w:bCs/>
              </w:rPr>
              <w:t>2018-19</w:t>
            </w:r>
          </w:p>
        </w:tc>
        <w:tc>
          <w:tcPr>
            <w:tcW w:w="0" w:type="auto"/>
            <w:tcBorders>
              <w:top w:val="single" w:sz="8" w:space="0" w:color="auto"/>
              <w:left w:val="single" w:sz="8" w:space="0" w:color="auto"/>
              <w:bottom w:val="single" w:sz="8" w:space="0" w:color="auto"/>
              <w:right w:val="single" w:sz="8" w:space="0" w:color="auto"/>
            </w:tcBorders>
          </w:tcPr>
          <w:p w14:paraId="3AFF831B" w14:textId="5E095993" w:rsidR="005F2797" w:rsidRPr="00B02B3D" w:rsidRDefault="005F2797" w:rsidP="00B02B3D">
            <w:pPr>
              <w:rPr>
                <w:b/>
              </w:rPr>
            </w:pPr>
            <w:r w:rsidRPr="00B02B3D">
              <w:rPr>
                <w:rFonts w:eastAsia="Arial"/>
                <w:b/>
                <w:bCs/>
              </w:rPr>
              <w:t>2019-20</w:t>
            </w:r>
          </w:p>
        </w:tc>
        <w:tc>
          <w:tcPr>
            <w:tcW w:w="0" w:type="auto"/>
            <w:tcBorders>
              <w:top w:val="single" w:sz="8" w:space="0" w:color="auto"/>
              <w:left w:val="single" w:sz="8" w:space="0" w:color="auto"/>
              <w:bottom w:val="single" w:sz="8" w:space="0" w:color="auto"/>
              <w:right w:val="single" w:sz="8" w:space="0" w:color="auto"/>
            </w:tcBorders>
          </w:tcPr>
          <w:p w14:paraId="277EA840" w14:textId="5FFE36D7" w:rsidR="005F2797" w:rsidRPr="00B02B3D" w:rsidRDefault="005F2797" w:rsidP="00B02B3D">
            <w:pPr>
              <w:rPr>
                <w:b/>
              </w:rPr>
            </w:pPr>
            <w:r w:rsidRPr="00B02B3D">
              <w:rPr>
                <w:rFonts w:eastAsia="Arial"/>
                <w:b/>
                <w:bCs/>
              </w:rPr>
              <w:t>2020-21</w:t>
            </w:r>
          </w:p>
        </w:tc>
        <w:tc>
          <w:tcPr>
            <w:tcW w:w="0" w:type="auto"/>
            <w:tcBorders>
              <w:top w:val="single" w:sz="8" w:space="0" w:color="auto"/>
              <w:left w:val="single" w:sz="8" w:space="0" w:color="auto"/>
              <w:bottom w:val="single" w:sz="8" w:space="0" w:color="auto"/>
              <w:right w:val="single" w:sz="8" w:space="0" w:color="auto"/>
            </w:tcBorders>
          </w:tcPr>
          <w:p w14:paraId="2326BCA7" w14:textId="76AD7CBE" w:rsidR="005F2797" w:rsidRPr="00B02B3D" w:rsidRDefault="005F2797" w:rsidP="00B02B3D">
            <w:pPr>
              <w:rPr>
                <w:b/>
              </w:rPr>
            </w:pPr>
            <w:r w:rsidRPr="00B02B3D">
              <w:rPr>
                <w:rFonts w:eastAsia="Arial"/>
                <w:b/>
                <w:bCs/>
              </w:rPr>
              <w:t>Overall</w:t>
            </w:r>
          </w:p>
        </w:tc>
        <w:tc>
          <w:tcPr>
            <w:tcW w:w="0" w:type="auto"/>
            <w:tcBorders>
              <w:top w:val="single" w:sz="8" w:space="0" w:color="auto"/>
              <w:left w:val="single" w:sz="8" w:space="0" w:color="auto"/>
              <w:bottom w:val="single" w:sz="8" w:space="0" w:color="auto"/>
              <w:right w:val="single" w:sz="8" w:space="0" w:color="auto"/>
            </w:tcBorders>
          </w:tcPr>
          <w:p w14:paraId="0792CB60" w14:textId="545D9B2D" w:rsidR="005F2797" w:rsidRPr="00B02B3D" w:rsidRDefault="005F2797" w:rsidP="00B02B3D">
            <w:pPr>
              <w:rPr>
                <w:b/>
              </w:rPr>
            </w:pPr>
            <w:r w:rsidRPr="00B02B3D">
              <w:rPr>
                <w:rFonts w:eastAsia="Arial"/>
                <w:b/>
                <w:bCs/>
              </w:rPr>
              <w:t>Percentage of overall figure</w:t>
            </w:r>
          </w:p>
        </w:tc>
      </w:tr>
      <w:tr w:rsidR="005F2797" w:rsidRPr="00D03EEE" w14:paraId="7C603267" w14:textId="77777777" w:rsidTr="00F12178">
        <w:tc>
          <w:tcPr>
            <w:tcW w:w="3534" w:type="dxa"/>
            <w:tcBorders>
              <w:top w:val="single" w:sz="8" w:space="0" w:color="auto"/>
              <w:left w:val="single" w:sz="8" w:space="0" w:color="auto"/>
              <w:bottom w:val="single" w:sz="8" w:space="0" w:color="auto"/>
              <w:right w:val="single" w:sz="8" w:space="0" w:color="auto"/>
            </w:tcBorders>
          </w:tcPr>
          <w:p w14:paraId="4180A1EB" w14:textId="77777777" w:rsidR="005F2797" w:rsidRPr="00D03EEE" w:rsidRDefault="005F2797" w:rsidP="00B02B3D">
            <w:r w:rsidRPr="00D03EEE">
              <w:rPr>
                <w:rFonts w:eastAsia="Arial"/>
                <w:bCs/>
              </w:rPr>
              <w:t>Number of debtor applications of bankruptcy</w:t>
            </w:r>
          </w:p>
        </w:tc>
        <w:tc>
          <w:tcPr>
            <w:tcW w:w="830" w:type="dxa"/>
            <w:tcBorders>
              <w:top w:val="single" w:sz="8" w:space="0" w:color="auto"/>
              <w:left w:val="single" w:sz="8" w:space="0" w:color="auto"/>
              <w:bottom w:val="single" w:sz="8" w:space="0" w:color="auto"/>
              <w:right w:val="single" w:sz="8" w:space="0" w:color="auto"/>
            </w:tcBorders>
          </w:tcPr>
          <w:p w14:paraId="20DE4B73" w14:textId="472E8223" w:rsidR="005F2797" w:rsidRPr="00D03EEE" w:rsidRDefault="005F2797" w:rsidP="00B02B3D">
            <w:r w:rsidRPr="00D03EEE">
              <w:rPr>
                <w:rFonts w:eastAsia="Arial"/>
                <w:bCs/>
              </w:rPr>
              <w:t>3,867</w:t>
            </w:r>
          </w:p>
        </w:tc>
        <w:tc>
          <w:tcPr>
            <w:tcW w:w="0" w:type="auto"/>
            <w:tcBorders>
              <w:top w:val="single" w:sz="8" w:space="0" w:color="auto"/>
              <w:left w:val="single" w:sz="8" w:space="0" w:color="auto"/>
              <w:bottom w:val="single" w:sz="8" w:space="0" w:color="auto"/>
              <w:right w:val="single" w:sz="8" w:space="0" w:color="auto"/>
            </w:tcBorders>
          </w:tcPr>
          <w:p w14:paraId="47D6BF98" w14:textId="08591C62" w:rsidR="005F2797" w:rsidRPr="00D03EEE" w:rsidRDefault="005F2797" w:rsidP="00B02B3D">
            <w:r w:rsidRPr="00D03EEE">
              <w:rPr>
                <w:rFonts w:eastAsia="Arial"/>
                <w:bCs/>
              </w:rPr>
              <w:t>3,825</w:t>
            </w:r>
          </w:p>
        </w:tc>
        <w:tc>
          <w:tcPr>
            <w:tcW w:w="0" w:type="auto"/>
            <w:tcBorders>
              <w:top w:val="single" w:sz="8" w:space="0" w:color="auto"/>
              <w:left w:val="single" w:sz="8" w:space="0" w:color="auto"/>
              <w:bottom w:val="single" w:sz="8" w:space="0" w:color="auto"/>
              <w:right w:val="single" w:sz="8" w:space="0" w:color="auto"/>
            </w:tcBorders>
          </w:tcPr>
          <w:p w14:paraId="3606B3CB" w14:textId="4A086A59" w:rsidR="005F2797" w:rsidRPr="00D03EEE" w:rsidRDefault="005F2797" w:rsidP="00B02B3D">
            <w:r w:rsidRPr="00D03EEE">
              <w:rPr>
                <w:rFonts w:eastAsia="Arial"/>
                <w:bCs/>
              </w:rPr>
              <w:t>2,163</w:t>
            </w:r>
          </w:p>
        </w:tc>
        <w:tc>
          <w:tcPr>
            <w:tcW w:w="0" w:type="auto"/>
            <w:tcBorders>
              <w:top w:val="single" w:sz="8" w:space="0" w:color="auto"/>
              <w:left w:val="single" w:sz="8" w:space="0" w:color="auto"/>
              <w:bottom w:val="single" w:sz="8" w:space="0" w:color="auto"/>
              <w:right w:val="single" w:sz="8" w:space="0" w:color="auto"/>
            </w:tcBorders>
          </w:tcPr>
          <w:p w14:paraId="4E2D0310" w14:textId="3BE48AE0" w:rsidR="005F2797" w:rsidRPr="00D03EEE" w:rsidRDefault="005F2797" w:rsidP="00B02B3D">
            <w:r w:rsidRPr="00D03EEE">
              <w:rPr>
                <w:rFonts w:eastAsia="Arial"/>
                <w:bCs/>
              </w:rPr>
              <w:t>9,855</w:t>
            </w:r>
          </w:p>
        </w:tc>
        <w:tc>
          <w:tcPr>
            <w:tcW w:w="0" w:type="auto"/>
            <w:tcBorders>
              <w:top w:val="single" w:sz="8" w:space="0" w:color="auto"/>
              <w:left w:val="single" w:sz="8" w:space="0" w:color="auto"/>
              <w:bottom w:val="single" w:sz="8" w:space="0" w:color="auto"/>
              <w:right w:val="single" w:sz="8" w:space="0" w:color="auto"/>
            </w:tcBorders>
          </w:tcPr>
          <w:p w14:paraId="0E80C05C" w14:textId="76F844D6" w:rsidR="005F2797" w:rsidRPr="00D03EEE" w:rsidRDefault="005F2797" w:rsidP="00B02B3D">
            <w:r w:rsidRPr="00D03EEE">
              <w:rPr>
                <w:rFonts w:eastAsia="Arial"/>
                <w:bCs/>
              </w:rPr>
              <w:t>100%</w:t>
            </w:r>
          </w:p>
        </w:tc>
      </w:tr>
      <w:tr w:rsidR="005F2797" w:rsidRPr="00D03EEE" w14:paraId="14928A1F" w14:textId="77777777" w:rsidTr="00F12178">
        <w:tc>
          <w:tcPr>
            <w:tcW w:w="3534" w:type="dxa"/>
            <w:tcBorders>
              <w:top w:val="single" w:sz="8" w:space="0" w:color="auto"/>
              <w:left w:val="single" w:sz="8" w:space="0" w:color="auto"/>
              <w:bottom w:val="single" w:sz="8" w:space="0" w:color="auto"/>
              <w:right w:val="single" w:sz="8" w:space="0" w:color="auto"/>
            </w:tcBorders>
          </w:tcPr>
          <w:p w14:paraId="117AA756" w14:textId="77777777" w:rsidR="005F2797" w:rsidRPr="00D03EEE" w:rsidRDefault="005F2797" w:rsidP="00B02B3D">
            <w:r w:rsidRPr="00D03EEE">
              <w:rPr>
                <w:rFonts w:eastAsia="Arial"/>
              </w:rPr>
              <w:t>of which: Balancing item to match the published statistics</w:t>
            </w:r>
          </w:p>
        </w:tc>
        <w:tc>
          <w:tcPr>
            <w:tcW w:w="830" w:type="dxa"/>
            <w:tcBorders>
              <w:top w:val="single" w:sz="8" w:space="0" w:color="auto"/>
              <w:left w:val="single" w:sz="8" w:space="0" w:color="auto"/>
              <w:bottom w:val="single" w:sz="8" w:space="0" w:color="auto"/>
              <w:right w:val="single" w:sz="8" w:space="0" w:color="auto"/>
            </w:tcBorders>
          </w:tcPr>
          <w:p w14:paraId="1F7DFF73" w14:textId="00E6EDD1" w:rsidR="005F2797" w:rsidRPr="00D03EEE" w:rsidRDefault="005F2797" w:rsidP="00B02B3D">
            <w:r w:rsidRPr="00D03EEE">
              <w:rPr>
                <w:rFonts w:eastAsia="Arial"/>
              </w:rPr>
              <w:t>0</w:t>
            </w:r>
          </w:p>
        </w:tc>
        <w:tc>
          <w:tcPr>
            <w:tcW w:w="0" w:type="auto"/>
            <w:tcBorders>
              <w:top w:val="single" w:sz="8" w:space="0" w:color="auto"/>
              <w:left w:val="single" w:sz="8" w:space="0" w:color="auto"/>
              <w:bottom w:val="single" w:sz="8" w:space="0" w:color="auto"/>
              <w:right w:val="single" w:sz="8" w:space="0" w:color="auto"/>
            </w:tcBorders>
          </w:tcPr>
          <w:p w14:paraId="682D4770" w14:textId="55F61064" w:rsidR="005F2797" w:rsidRPr="00D03EEE" w:rsidRDefault="005F2797" w:rsidP="00B02B3D">
            <w:r w:rsidRPr="00D03EEE">
              <w:rPr>
                <w:rFonts w:eastAsia="Arial"/>
              </w:rPr>
              <w:t>0</w:t>
            </w:r>
          </w:p>
        </w:tc>
        <w:tc>
          <w:tcPr>
            <w:tcW w:w="0" w:type="auto"/>
            <w:tcBorders>
              <w:top w:val="single" w:sz="8" w:space="0" w:color="auto"/>
              <w:left w:val="single" w:sz="8" w:space="0" w:color="auto"/>
              <w:bottom w:val="single" w:sz="8" w:space="0" w:color="auto"/>
              <w:right w:val="single" w:sz="8" w:space="0" w:color="auto"/>
            </w:tcBorders>
          </w:tcPr>
          <w:p w14:paraId="0DDA1ADB" w14:textId="7A5A843B" w:rsidR="005F2797" w:rsidRPr="00D03EEE" w:rsidRDefault="005F2797" w:rsidP="00B02B3D">
            <w:r w:rsidRPr="00D03EEE">
              <w:rPr>
                <w:rFonts w:eastAsia="Arial"/>
              </w:rPr>
              <w:t>0</w:t>
            </w:r>
          </w:p>
        </w:tc>
        <w:tc>
          <w:tcPr>
            <w:tcW w:w="0" w:type="auto"/>
            <w:tcBorders>
              <w:top w:val="single" w:sz="8" w:space="0" w:color="auto"/>
              <w:left w:val="single" w:sz="8" w:space="0" w:color="auto"/>
              <w:bottom w:val="single" w:sz="8" w:space="0" w:color="auto"/>
              <w:right w:val="single" w:sz="8" w:space="0" w:color="auto"/>
            </w:tcBorders>
          </w:tcPr>
          <w:p w14:paraId="07922846" w14:textId="7BA22072" w:rsidR="005F2797" w:rsidRPr="00D03EEE" w:rsidRDefault="005F2797" w:rsidP="00B02B3D">
            <w:r w:rsidRPr="00D03EEE">
              <w:rPr>
                <w:rFonts w:eastAsia="Arial"/>
              </w:rPr>
              <w:t>0</w:t>
            </w:r>
          </w:p>
        </w:tc>
        <w:tc>
          <w:tcPr>
            <w:tcW w:w="0" w:type="auto"/>
            <w:tcBorders>
              <w:top w:val="single" w:sz="8" w:space="0" w:color="auto"/>
              <w:left w:val="single" w:sz="8" w:space="0" w:color="auto"/>
              <w:bottom w:val="single" w:sz="8" w:space="0" w:color="auto"/>
              <w:right w:val="single" w:sz="8" w:space="0" w:color="auto"/>
            </w:tcBorders>
          </w:tcPr>
          <w:p w14:paraId="0D1FB5EA" w14:textId="77777777" w:rsidR="005F2797" w:rsidRPr="00D03EEE" w:rsidRDefault="005F2797" w:rsidP="00B02B3D">
            <w:r w:rsidRPr="00D03EEE">
              <w:rPr>
                <w:rFonts w:eastAsia="Arial"/>
              </w:rPr>
              <w:t xml:space="preserve"> </w:t>
            </w:r>
          </w:p>
        </w:tc>
      </w:tr>
      <w:tr w:rsidR="005F2797" w:rsidRPr="00D03EEE" w14:paraId="74A9B9D3" w14:textId="77777777" w:rsidTr="00F12178">
        <w:tc>
          <w:tcPr>
            <w:tcW w:w="3534" w:type="dxa"/>
            <w:tcBorders>
              <w:top w:val="single" w:sz="8" w:space="0" w:color="auto"/>
              <w:left w:val="single" w:sz="8" w:space="0" w:color="auto"/>
              <w:bottom w:val="single" w:sz="8" w:space="0" w:color="auto"/>
              <w:right w:val="single" w:sz="8" w:space="0" w:color="auto"/>
            </w:tcBorders>
          </w:tcPr>
          <w:p w14:paraId="54C993B7" w14:textId="77777777" w:rsidR="005F2797" w:rsidRPr="00D03EEE" w:rsidRDefault="005F2797" w:rsidP="00B02B3D">
            <w:r w:rsidRPr="00D03EEE">
              <w:rPr>
                <w:rFonts w:eastAsia="Arial"/>
              </w:rPr>
              <w:t>of which type: MAP with either a DCO set at £0 or no DCO was set</w:t>
            </w:r>
          </w:p>
        </w:tc>
        <w:tc>
          <w:tcPr>
            <w:tcW w:w="830" w:type="dxa"/>
            <w:tcBorders>
              <w:top w:val="single" w:sz="8" w:space="0" w:color="auto"/>
              <w:left w:val="single" w:sz="8" w:space="0" w:color="auto"/>
              <w:bottom w:val="single" w:sz="8" w:space="0" w:color="auto"/>
              <w:right w:val="single" w:sz="8" w:space="0" w:color="auto"/>
            </w:tcBorders>
          </w:tcPr>
          <w:p w14:paraId="5434BF3A" w14:textId="77777777" w:rsidR="005F2797" w:rsidRPr="00D03EEE" w:rsidRDefault="005F2797" w:rsidP="00B02B3D">
            <w:r w:rsidRPr="00D03EEE">
              <w:rPr>
                <w:rFonts w:eastAsia="Arial"/>
              </w:rPr>
              <w:t>2,173</w:t>
            </w:r>
          </w:p>
          <w:p w14:paraId="0698F58E" w14:textId="77777777" w:rsidR="005F2797" w:rsidRPr="00D03EEE" w:rsidRDefault="005F2797" w:rsidP="00B02B3D">
            <w:r w:rsidRPr="00D03EEE">
              <w:rPr>
                <w:rFonts w:eastAsia="Arial"/>
              </w:rPr>
              <w:t xml:space="preserve"> </w:t>
            </w:r>
          </w:p>
        </w:tc>
        <w:tc>
          <w:tcPr>
            <w:tcW w:w="0" w:type="auto"/>
            <w:tcBorders>
              <w:top w:val="single" w:sz="8" w:space="0" w:color="auto"/>
              <w:left w:val="single" w:sz="8" w:space="0" w:color="auto"/>
              <w:bottom w:val="single" w:sz="8" w:space="0" w:color="auto"/>
              <w:right w:val="single" w:sz="8" w:space="0" w:color="auto"/>
            </w:tcBorders>
          </w:tcPr>
          <w:p w14:paraId="35110820" w14:textId="77777777" w:rsidR="005F2797" w:rsidRPr="00D03EEE" w:rsidRDefault="005F2797" w:rsidP="00B02B3D">
            <w:r w:rsidRPr="00D03EEE">
              <w:rPr>
                <w:rFonts w:eastAsia="Arial"/>
              </w:rPr>
              <w:t>2,020</w:t>
            </w:r>
          </w:p>
          <w:p w14:paraId="69718EA9" w14:textId="77777777" w:rsidR="005F2797" w:rsidRPr="00D03EEE" w:rsidRDefault="005F2797" w:rsidP="00B02B3D">
            <w:r w:rsidRPr="00D03EEE">
              <w:rPr>
                <w:rFonts w:eastAsia="Arial"/>
              </w:rPr>
              <w:t xml:space="preserve"> </w:t>
            </w:r>
          </w:p>
        </w:tc>
        <w:tc>
          <w:tcPr>
            <w:tcW w:w="0" w:type="auto"/>
            <w:tcBorders>
              <w:top w:val="single" w:sz="8" w:space="0" w:color="auto"/>
              <w:left w:val="single" w:sz="8" w:space="0" w:color="auto"/>
              <w:bottom w:val="single" w:sz="8" w:space="0" w:color="auto"/>
              <w:right w:val="single" w:sz="8" w:space="0" w:color="auto"/>
            </w:tcBorders>
          </w:tcPr>
          <w:p w14:paraId="447ADDD5" w14:textId="77777777" w:rsidR="005F2797" w:rsidRPr="00D03EEE" w:rsidRDefault="005F2797" w:rsidP="00B02B3D">
            <w:r w:rsidRPr="00D03EEE">
              <w:rPr>
                <w:rFonts w:eastAsia="Arial"/>
              </w:rPr>
              <w:t>1,512</w:t>
            </w:r>
          </w:p>
          <w:p w14:paraId="389D188F" w14:textId="77777777" w:rsidR="005F2797" w:rsidRPr="00D03EEE" w:rsidRDefault="005F2797" w:rsidP="00B02B3D">
            <w:r w:rsidRPr="00D03EEE">
              <w:rPr>
                <w:rFonts w:eastAsia="Arial"/>
              </w:rPr>
              <w:t xml:space="preserve"> </w:t>
            </w:r>
          </w:p>
        </w:tc>
        <w:tc>
          <w:tcPr>
            <w:tcW w:w="0" w:type="auto"/>
            <w:tcBorders>
              <w:top w:val="single" w:sz="8" w:space="0" w:color="auto"/>
              <w:left w:val="single" w:sz="8" w:space="0" w:color="auto"/>
              <w:bottom w:val="single" w:sz="8" w:space="0" w:color="auto"/>
              <w:right w:val="single" w:sz="8" w:space="0" w:color="auto"/>
            </w:tcBorders>
          </w:tcPr>
          <w:p w14:paraId="7DC3FA2A" w14:textId="77777777" w:rsidR="005F2797" w:rsidRPr="00D03EEE" w:rsidRDefault="005F2797" w:rsidP="00B02B3D">
            <w:r w:rsidRPr="00D03EEE">
              <w:rPr>
                <w:rFonts w:eastAsia="Arial"/>
              </w:rPr>
              <w:t>5,705</w:t>
            </w:r>
          </w:p>
          <w:p w14:paraId="626123C1" w14:textId="77777777" w:rsidR="005F2797" w:rsidRPr="00D03EEE" w:rsidRDefault="005F2797" w:rsidP="00B02B3D">
            <w:r w:rsidRPr="00D03EEE">
              <w:rPr>
                <w:rFonts w:eastAsia="Arial"/>
              </w:rPr>
              <w:t xml:space="preserve"> </w:t>
            </w:r>
          </w:p>
        </w:tc>
        <w:tc>
          <w:tcPr>
            <w:tcW w:w="0" w:type="auto"/>
            <w:tcBorders>
              <w:top w:val="single" w:sz="8" w:space="0" w:color="auto"/>
              <w:left w:val="single" w:sz="8" w:space="0" w:color="auto"/>
              <w:bottom w:val="single" w:sz="8" w:space="0" w:color="auto"/>
              <w:right w:val="single" w:sz="8" w:space="0" w:color="auto"/>
            </w:tcBorders>
          </w:tcPr>
          <w:p w14:paraId="43A57EC0" w14:textId="77777777" w:rsidR="005F2797" w:rsidRPr="00D03EEE" w:rsidRDefault="005F2797" w:rsidP="00B02B3D">
            <w:r w:rsidRPr="00D03EEE">
              <w:rPr>
                <w:rFonts w:eastAsia="Arial"/>
              </w:rPr>
              <w:t>58%</w:t>
            </w:r>
          </w:p>
          <w:p w14:paraId="3EFC6B36" w14:textId="77777777" w:rsidR="005F2797" w:rsidRPr="00D03EEE" w:rsidRDefault="005F2797" w:rsidP="00B02B3D">
            <w:r w:rsidRPr="00D03EEE">
              <w:rPr>
                <w:rFonts w:eastAsia="Arial"/>
              </w:rPr>
              <w:t xml:space="preserve"> </w:t>
            </w:r>
          </w:p>
        </w:tc>
      </w:tr>
      <w:tr w:rsidR="005F2797" w:rsidRPr="00D03EEE" w14:paraId="6EC224E5" w14:textId="77777777" w:rsidTr="00F12178">
        <w:tc>
          <w:tcPr>
            <w:tcW w:w="3534" w:type="dxa"/>
            <w:tcBorders>
              <w:top w:val="single" w:sz="8" w:space="0" w:color="auto"/>
              <w:left w:val="single" w:sz="8" w:space="0" w:color="auto"/>
              <w:bottom w:val="single" w:sz="8" w:space="0" w:color="auto"/>
              <w:right w:val="single" w:sz="8" w:space="0" w:color="auto"/>
            </w:tcBorders>
          </w:tcPr>
          <w:p w14:paraId="2E4AD13C" w14:textId="77777777" w:rsidR="005F2797" w:rsidRPr="00D03EEE" w:rsidRDefault="005F2797" w:rsidP="00B02B3D">
            <w:r w:rsidRPr="00D03EEE">
              <w:rPr>
                <w:rFonts w:eastAsia="Arial"/>
              </w:rPr>
              <w:t>of which type: FA with either a DCO set at £0 or no DCO was set</w:t>
            </w:r>
          </w:p>
        </w:tc>
        <w:tc>
          <w:tcPr>
            <w:tcW w:w="830" w:type="dxa"/>
            <w:tcBorders>
              <w:top w:val="single" w:sz="8" w:space="0" w:color="auto"/>
              <w:left w:val="single" w:sz="8" w:space="0" w:color="auto"/>
              <w:bottom w:val="single" w:sz="8" w:space="0" w:color="auto"/>
              <w:right w:val="single" w:sz="8" w:space="0" w:color="auto"/>
            </w:tcBorders>
          </w:tcPr>
          <w:p w14:paraId="0749AEC3" w14:textId="77777777" w:rsidR="005F2797" w:rsidRPr="00D03EEE" w:rsidRDefault="005F2797" w:rsidP="00B02B3D">
            <w:r w:rsidRPr="00D03EEE">
              <w:rPr>
                <w:rFonts w:eastAsia="Arial"/>
              </w:rPr>
              <w:t>1,092</w:t>
            </w:r>
          </w:p>
          <w:p w14:paraId="30C218A7" w14:textId="77777777" w:rsidR="005F2797" w:rsidRPr="00D03EEE" w:rsidRDefault="005F2797" w:rsidP="00B02B3D">
            <w:r w:rsidRPr="00D03EEE">
              <w:rPr>
                <w:rFonts w:eastAsia="Arial"/>
              </w:rPr>
              <w:t xml:space="preserve"> </w:t>
            </w:r>
          </w:p>
        </w:tc>
        <w:tc>
          <w:tcPr>
            <w:tcW w:w="0" w:type="auto"/>
            <w:tcBorders>
              <w:top w:val="single" w:sz="8" w:space="0" w:color="auto"/>
              <w:left w:val="single" w:sz="8" w:space="0" w:color="auto"/>
              <w:bottom w:val="single" w:sz="8" w:space="0" w:color="auto"/>
              <w:right w:val="single" w:sz="8" w:space="0" w:color="auto"/>
            </w:tcBorders>
          </w:tcPr>
          <w:p w14:paraId="21387FC8" w14:textId="77777777" w:rsidR="005F2797" w:rsidRPr="00D03EEE" w:rsidRDefault="005F2797" w:rsidP="00B02B3D">
            <w:r w:rsidRPr="00D03EEE">
              <w:rPr>
                <w:rFonts w:eastAsia="Arial"/>
              </w:rPr>
              <w:t>1,187</w:t>
            </w:r>
          </w:p>
          <w:p w14:paraId="0F8AEF94" w14:textId="77777777" w:rsidR="005F2797" w:rsidRPr="00D03EEE" w:rsidRDefault="005F2797" w:rsidP="00B02B3D">
            <w:r w:rsidRPr="00D03EEE">
              <w:rPr>
                <w:rFonts w:eastAsia="Arial"/>
              </w:rPr>
              <w:t xml:space="preserve"> </w:t>
            </w:r>
          </w:p>
        </w:tc>
        <w:tc>
          <w:tcPr>
            <w:tcW w:w="0" w:type="auto"/>
            <w:tcBorders>
              <w:top w:val="single" w:sz="8" w:space="0" w:color="auto"/>
              <w:left w:val="single" w:sz="8" w:space="0" w:color="auto"/>
              <w:bottom w:val="single" w:sz="8" w:space="0" w:color="auto"/>
              <w:right w:val="single" w:sz="8" w:space="0" w:color="auto"/>
            </w:tcBorders>
          </w:tcPr>
          <w:p w14:paraId="6015C506" w14:textId="77777777" w:rsidR="005F2797" w:rsidRPr="00D03EEE" w:rsidRDefault="005F2797" w:rsidP="00B02B3D">
            <w:r w:rsidRPr="00D03EEE">
              <w:rPr>
                <w:rFonts w:eastAsia="Arial"/>
              </w:rPr>
              <w:t>439</w:t>
            </w:r>
          </w:p>
          <w:p w14:paraId="3E34633A" w14:textId="77777777" w:rsidR="005F2797" w:rsidRPr="00D03EEE" w:rsidRDefault="005F2797" w:rsidP="00B02B3D">
            <w:r w:rsidRPr="00D03EEE">
              <w:rPr>
                <w:rFonts w:eastAsia="Arial"/>
              </w:rPr>
              <w:t xml:space="preserve"> </w:t>
            </w:r>
          </w:p>
        </w:tc>
        <w:tc>
          <w:tcPr>
            <w:tcW w:w="0" w:type="auto"/>
            <w:tcBorders>
              <w:top w:val="single" w:sz="8" w:space="0" w:color="auto"/>
              <w:left w:val="single" w:sz="8" w:space="0" w:color="auto"/>
              <w:bottom w:val="single" w:sz="8" w:space="0" w:color="auto"/>
              <w:right w:val="single" w:sz="8" w:space="0" w:color="auto"/>
            </w:tcBorders>
          </w:tcPr>
          <w:p w14:paraId="7ACF7F0F" w14:textId="77777777" w:rsidR="005F2797" w:rsidRPr="00D03EEE" w:rsidRDefault="005F2797" w:rsidP="00B02B3D">
            <w:r w:rsidRPr="00D03EEE">
              <w:rPr>
                <w:rFonts w:eastAsia="Arial"/>
              </w:rPr>
              <w:t>2,718</w:t>
            </w:r>
          </w:p>
          <w:p w14:paraId="054A5E3C" w14:textId="77777777" w:rsidR="005F2797" w:rsidRPr="00D03EEE" w:rsidRDefault="005F2797" w:rsidP="00B02B3D">
            <w:r w:rsidRPr="00D03EEE">
              <w:rPr>
                <w:rFonts w:eastAsia="Arial"/>
              </w:rPr>
              <w:t xml:space="preserve"> </w:t>
            </w:r>
          </w:p>
        </w:tc>
        <w:tc>
          <w:tcPr>
            <w:tcW w:w="0" w:type="auto"/>
            <w:tcBorders>
              <w:top w:val="single" w:sz="8" w:space="0" w:color="auto"/>
              <w:left w:val="single" w:sz="8" w:space="0" w:color="auto"/>
              <w:bottom w:val="single" w:sz="8" w:space="0" w:color="auto"/>
              <w:right w:val="single" w:sz="8" w:space="0" w:color="auto"/>
            </w:tcBorders>
          </w:tcPr>
          <w:p w14:paraId="110DD9F9" w14:textId="77777777" w:rsidR="005F2797" w:rsidRPr="00D03EEE" w:rsidRDefault="005F2797" w:rsidP="00B02B3D">
            <w:r w:rsidRPr="00D03EEE">
              <w:rPr>
                <w:rFonts w:eastAsia="Arial"/>
              </w:rPr>
              <w:t>28%</w:t>
            </w:r>
          </w:p>
          <w:p w14:paraId="5B6FE572" w14:textId="77777777" w:rsidR="005F2797" w:rsidRPr="00D03EEE" w:rsidRDefault="005F2797" w:rsidP="00B02B3D">
            <w:r w:rsidRPr="00D03EEE">
              <w:rPr>
                <w:rFonts w:eastAsia="Arial"/>
              </w:rPr>
              <w:t xml:space="preserve"> </w:t>
            </w:r>
          </w:p>
        </w:tc>
      </w:tr>
      <w:tr w:rsidR="005F2797" w:rsidRPr="00D03EEE" w14:paraId="32031DCA" w14:textId="77777777" w:rsidTr="00F12178">
        <w:tc>
          <w:tcPr>
            <w:tcW w:w="3534" w:type="dxa"/>
            <w:tcBorders>
              <w:top w:val="single" w:sz="8" w:space="0" w:color="auto"/>
              <w:left w:val="single" w:sz="8" w:space="0" w:color="auto"/>
              <w:bottom w:val="single" w:sz="8" w:space="0" w:color="auto"/>
              <w:right w:val="single" w:sz="8" w:space="0" w:color="auto"/>
            </w:tcBorders>
          </w:tcPr>
          <w:p w14:paraId="290E6745" w14:textId="77777777" w:rsidR="005F2797" w:rsidRPr="00D03EEE" w:rsidRDefault="005F2797" w:rsidP="00B02B3D">
            <w:r w:rsidRPr="00D03EEE">
              <w:rPr>
                <w:rFonts w:eastAsia="Arial"/>
              </w:rPr>
              <w:t>of which type: FA with DCO set at more than £0</w:t>
            </w:r>
          </w:p>
        </w:tc>
        <w:tc>
          <w:tcPr>
            <w:tcW w:w="830" w:type="dxa"/>
            <w:tcBorders>
              <w:top w:val="single" w:sz="8" w:space="0" w:color="auto"/>
              <w:left w:val="single" w:sz="8" w:space="0" w:color="auto"/>
              <w:bottom w:val="single" w:sz="8" w:space="0" w:color="auto"/>
              <w:right w:val="single" w:sz="8" w:space="0" w:color="auto"/>
            </w:tcBorders>
          </w:tcPr>
          <w:p w14:paraId="17391172" w14:textId="4D91B544" w:rsidR="005F2797" w:rsidRPr="00D03EEE" w:rsidRDefault="005F2797" w:rsidP="00B02B3D">
            <w:r w:rsidRPr="00D03EEE">
              <w:rPr>
                <w:rFonts w:eastAsia="Arial"/>
              </w:rPr>
              <w:t>602</w:t>
            </w:r>
          </w:p>
        </w:tc>
        <w:tc>
          <w:tcPr>
            <w:tcW w:w="0" w:type="auto"/>
            <w:tcBorders>
              <w:top w:val="single" w:sz="8" w:space="0" w:color="auto"/>
              <w:left w:val="single" w:sz="8" w:space="0" w:color="auto"/>
              <w:bottom w:val="single" w:sz="8" w:space="0" w:color="auto"/>
              <w:right w:val="single" w:sz="8" w:space="0" w:color="auto"/>
            </w:tcBorders>
          </w:tcPr>
          <w:p w14:paraId="6CB5C161" w14:textId="282ED55D" w:rsidR="005F2797" w:rsidRPr="00D03EEE" w:rsidRDefault="005F2797" w:rsidP="00B02B3D">
            <w:r w:rsidRPr="00D03EEE">
              <w:rPr>
                <w:rFonts w:eastAsia="Arial"/>
              </w:rPr>
              <w:t>618</w:t>
            </w:r>
          </w:p>
        </w:tc>
        <w:tc>
          <w:tcPr>
            <w:tcW w:w="0" w:type="auto"/>
            <w:tcBorders>
              <w:top w:val="single" w:sz="8" w:space="0" w:color="auto"/>
              <w:left w:val="single" w:sz="8" w:space="0" w:color="auto"/>
              <w:bottom w:val="single" w:sz="8" w:space="0" w:color="auto"/>
              <w:right w:val="single" w:sz="8" w:space="0" w:color="auto"/>
            </w:tcBorders>
          </w:tcPr>
          <w:p w14:paraId="0F1CC30C" w14:textId="3803974B" w:rsidR="005F2797" w:rsidRPr="00D03EEE" w:rsidRDefault="005F2797" w:rsidP="00B02B3D">
            <w:r w:rsidRPr="00D03EEE">
              <w:rPr>
                <w:rFonts w:eastAsia="Arial"/>
              </w:rPr>
              <w:t>212</w:t>
            </w:r>
          </w:p>
        </w:tc>
        <w:tc>
          <w:tcPr>
            <w:tcW w:w="0" w:type="auto"/>
            <w:tcBorders>
              <w:top w:val="single" w:sz="8" w:space="0" w:color="auto"/>
              <w:left w:val="single" w:sz="8" w:space="0" w:color="auto"/>
              <w:bottom w:val="single" w:sz="8" w:space="0" w:color="auto"/>
              <w:right w:val="single" w:sz="8" w:space="0" w:color="auto"/>
            </w:tcBorders>
          </w:tcPr>
          <w:p w14:paraId="301B9BC8" w14:textId="178661B0" w:rsidR="005F2797" w:rsidRPr="00D03EEE" w:rsidRDefault="005F2797" w:rsidP="00B02B3D">
            <w:r w:rsidRPr="00D03EEE">
              <w:rPr>
                <w:rFonts w:eastAsia="Arial"/>
              </w:rPr>
              <w:t>1,432</w:t>
            </w:r>
          </w:p>
        </w:tc>
        <w:tc>
          <w:tcPr>
            <w:tcW w:w="0" w:type="auto"/>
            <w:tcBorders>
              <w:top w:val="single" w:sz="8" w:space="0" w:color="auto"/>
              <w:left w:val="single" w:sz="8" w:space="0" w:color="auto"/>
              <w:bottom w:val="single" w:sz="8" w:space="0" w:color="auto"/>
              <w:right w:val="single" w:sz="8" w:space="0" w:color="auto"/>
            </w:tcBorders>
          </w:tcPr>
          <w:p w14:paraId="1F6648CA" w14:textId="20B248A1" w:rsidR="005F2797" w:rsidRPr="00D03EEE" w:rsidRDefault="005F2797" w:rsidP="00B02B3D">
            <w:r w:rsidRPr="00D03EEE">
              <w:rPr>
                <w:rFonts w:eastAsia="Arial"/>
              </w:rPr>
              <w:t>15%</w:t>
            </w:r>
          </w:p>
        </w:tc>
      </w:tr>
    </w:tbl>
    <w:p w14:paraId="77A81B86" w14:textId="721B23C0" w:rsidR="00F33C22" w:rsidRDefault="00624379" w:rsidP="005C02F4">
      <w:pPr>
        <w:rPr>
          <w:rFonts w:eastAsia="Arial"/>
          <w:b/>
        </w:rPr>
      </w:pPr>
      <w:r>
        <w:t>Full notes for the above table</w:t>
      </w:r>
      <w:r w:rsidR="00F12178">
        <w:t xml:space="preserve"> can be found on the AiB website at the following link: </w:t>
      </w:r>
      <w:hyperlink r:id="rId10" w:history="1">
        <w:r w:rsidR="00F12178" w:rsidRPr="00F12178">
          <w:rPr>
            <w:rStyle w:val="Hyperlink"/>
          </w:rPr>
          <w:t>Ad-hoc statistical release ID 11</w:t>
        </w:r>
      </w:hyperlink>
      <w:r w:rsidR="00F12178" w:rsidRPr="00F12178">
        <w:t>.</w:t>
      </w:r>
      <w:r w:rsidR="00F33C22">
        <w:rPr>
          <w:rFonts w:eastAsia="Arial"/>
          <w:b/>
        </w:rPr>
        <w:br w:type="page"/>
      </w:r>
    </w:p>
    <w:p w14:paraId="0F8A3984" w14:textId="5A93EAEB" w:rsidR="005F2797" w:rsidRPr="00B02B3D" w:rsidRDefault="005F2797" w:rsidP="00B02B3D">
      <w:pPr>
        <w:rPr>
          <w:b/>
        </w:rPr>
      </w:pPr>
      <w:r w:rsidRPr="00B02B3D">
        <w:rPr>
          <w:rFonts w:eastAsia="Arial"/>
          <w:b/>
        </w:rPr>
        <w:lastRenderedPageBreak/>
        <w:t>Table 3</w:t>
      </w:r>
      <w:r w:rsidR="00A04479" w:rsidRPr="00B02B3D">
        <w:rPr>
          <w:b/>
        </w:rPr>
        <w:t xml:space="preserve">: </w:t>
      </w:r>
      <w:r w:rsidRPr="00B02B3D">
        <w:rPr>
          <w:rFonts w:eastAsia="Arial"/>
          <w:b/>
        </w:rPr>
        <w:t>Number of debtor contribution order (DCO) for debtor applications by income and contribution level between 2018-19 and 2020-21</w:t>
      </w:r>
    </w:p>
    <w:tbl>
      <w:tblPr>
        <w:tblStyle w:val="TableGrid"/>
        <w:tblW w:w="0" w:type="auto"/>
        <w:tblInd w:w="0" w:type="dxa"/>
        <w:tblLook w:val="04A0" w:firstRow="1" w:lastRow="0" w:firstColumn="1" w:lastColumn="0" w:noHBand="0" w:noVBand="1"/>
        <w:tblCaption w:val="Table 3: Number of debtor contribution order (DCO) for debtor applications by income and contribution level between 2018-19 and 2020-21"/>
        <w:tblDescription w:val="The number of debtor contribution order (DCO) for debtor applications by income and contribution level between 2018-19 and 2020-21"/>
      </w:tblPr>
      <w:tblGrid>
        <w:gridCol w:w="1833"/>
        <w:gridCol w:w="851"/>
        <w:gridCol w:w="1275"/>
        <w:gridCol w:w="1276"/>
        <w:gridCol w:w="1221"/>
        <w:gridCol w:w="764"/>
        <w:gridCol w:w="969"/>
        <w:gridCol w:w="817"/>
      </w:tblGrid>
      <w:tr w:rsidR="005F2797" w:rsidRPr="00D03EEE" w14:paraId="15ADE7C2" w14:textId="77777777" w:rsidTr="00B02B3D">
        <w:trPr>
          <w:cantSplit/>
          <w:trHeight w:val="840"/>
          <w:tblHeader/>
        </w:trPr>
        <w:tc>
          <w:tcPr>
            <w:tcW w:w="1833" w:type="dxa"/>
            <w:tcBorders>
              <w:top w:val="single" w:sz="8" w:space="0" w:color="auto"/>
              <w:left w:val="single" w:sz="8" w:space="0" w:color="auto"/>
              <w:bottom w:val="single" w:sz="8" w:space="0" w:color="auto"/>
              <w:right w:val="single" w:sz="8" w:space="0" w:color="auto"/>
            </w:tcBorders>
          </w:tcPr>
          <w:p w14:paraId="0FD3119C" w14:textId="0639C299" w:rsidR="005F2797" w:rsidRPr="00B02B3D" w:rsidRDefault="005F2797" w:rsidP="00B02B3D">
            <w:pPr>
              <w:rPr>
                <w:b/>
              </w:rPr>
            </w:pPr>
            <w:r w:rsidRPr="00B02B3D">
              <w:rPr>
                <w:rFonts w:eastAsia="Arial"/>
                <w:b/>
                <w:bCs/>
              </w:rPr>
              <w:t>Financial year of the awarded date</w:t>
            </w:r>
          </w:p>
        </w:tc>
        <w:tc>
          <w:tcPr>
            <w:tcW w:w="851" w:type="dxa"/>
            <w:tcBorders>
              <w:top w:val="single" w:sz="8" w:space="0" w:color="auto"/>
              <w:left w:val="single" w:sz="8" w:space="0" w:color="auto"/>
              <w:bottom w:val="single" w:sz="8" w:space="0" w:color="auto"/>
              <w:right w:val="single" w:sz="8" w:space="0" w:color="auto"/>
            </w:tcBorders>
          </w:tcPr>
          <w:p w14:paraId="2F574113" w14:textId="77777777" w:rsidR="005F2797" w:rsidRPr="00B02B3D" w:rsidRDefault="005F2797" w:rsidP="00B02B3D">
            <w:pPr>
              <w:rPr>
                <w:b/>
              </w:rPr>
            </w:pPr>
            <w:r w:rsidRPr="00B02B3D">
              <w:rPr>
                <w:rFonts w:eastAsia="Arial"/>
                <w:b/>
                <w:bCs/>
              </w:rPr>
              <w:t>£0 or no DCO set</w:t>
            </w:r>
          </w:p>
        </w:tc>
        <w:tc>
          <w:tcPr>
            <w:tcW w:w="1275" w:type="dxa"/>
            <w:tcBorders>
              <w:top w:val="single" w:sz="8" w:space="0" w:color="auto"/>
              <w:left w:val="single" w:sz="8" w:space="0" w:color="auto"/>
              <w:bottom w:val="single" w:sz="8" w:space="0" w:color="auto"/>
              <w:right w:val="single" w:sz="8" w:space="0" w:color="auto"/>
            </w:tcBorders>
          </w:tcPr>
          <w:p w14:paraId="4168409B" w14:textId="77777777" w:rsidR="005F2797" w:rsidRPr="00B02B3D" w:rsidRDefault="005F2797" w:rsidP="00B02B3D">
            <w:pPr>
              <w:rPr>
                <w:b/>
              </w:rPr>
            </w:pPr>
            <w:r w:rsidRPr="00B02B3D">
              <w:rPr>
                <w:rFonts w:eastAsia="Arial"/>
                <w:b/>
                <w:bCs/>
              </w:rPr>
              <w:t>Between £0 and less than £100</w:t>
            </w:r>
          </w:p>
        </w:tc>
        <w:tc>
          <w:tcPr>
            <w:tcW w:w="1276" w:type="dxa"/>
            <w:tcBorders>
              <w:top w:val="single" w:sz="8" w:space="0" w:color="auto"/>
              <w:left w:val="single" w:sz="8" w:space="0" w:color="auto"/>
              <w:bottom w:val="single" w:sz="8" w:space="0" w:color="auto"/>
              <w:right w:val="single" w:sz="8" w:space="0" w:color="auto"/>
            </w:tcBorders>
          </w:tcPr>
          <w:p w14:paraId="578357D1" w14:textId="77777777" w:rsidR="005F2797" w:rsidRPr="00B02B3D" w:rsidRDefault="005F2797" w:rsidP="00B02B3D">
            <w:pPr>
              <w:rPr>
                <w:b/>
              </w:rPr>
            </w:pPr>
            <w:r w:rsidRPr="00B02B3D">
              <w:rPr>
                <w:rFonts w:eastAsia="Arial"/>
                <w:b/>
                <w:bCs/>
              </w:rPr>
              <w:t>Between £100 and less than £200</w:t>
            </w:r>
          </w:p>
        </w:tc>
        <w:tc>
          <w:tcPr>
            <w:tcW w:w="1221" w:type="dxa"/>
            <w:tcBorders>
              <w:top w:val="single" w:sz="8" w:space="0" w:color="auto"/>
              <w:left w:val="single" w:sz="8" w:space="0" w:color="auto"/>
              <w:bottom w:val="single" w:sz="8" w:space="0" w:color="auto"/>
              <w:right w:val="single" w:sz="8" w:space="0" w:color="auto"/>
            </w:tcBorders>
          </w:tcPr>
          <w:p w14:paraId="64CCE123" w14:textId="77777777" w:rsidR="005F2797" w:rsidRPr="00B02B3D" w:rsidRDefault="005F2797" w:rsidP="00B02B3D">
            <w:pPr>
              <w:rPr>
                <w:b/>
              </w:rPr>
            </w:pPr>
            <w:r w:rsidRPr="00B02B3D">
              <w:rPr>
                <w:rFonts w:eastAsia="Arial"/>
                <w:b/>
                <w:bCs/>
              </w:rPr>
              <w:t>Between £200 and less than £300</w:t>
            </w:r>
          </w:p>
        </w:tc>
        <w:tc>
          <w:tcPr>
            <w:tcW w:w="764" w:type="dxa"/>
            <w:tcBorders>
              <w:top w:val="single" w:sz="8" w:space="0" w:color="auto"/>
              <w:left w:val="single" w:sz="8" w:space="0" w:color="auto"/>
              <w:bottom w:val="single" w:sz="8" w:space="0" w:color="auto"/>
              <w:right w:val="single" w:sz="8" w:space="0" w:color="auto"/>
            </w:tcBorders>
          </w:tcPr>
          <w:p w14:paraId="22E5F15B" w14:textId="77777777" w:rsidR="005F2797" w:rsidRPr="00B02B3D" w:rsidRDefault="005F2797" w:rsidP="00B02B3D">
            <w:pPr>
              <w:rPr>
                <w:b/>
              </w:rPr>
            </w:pPr>
            <w:r w:rsidRPr="00B02B3D">
              <w:rPr>
                <w:rFonts w:eastAsia="Arial"/>
                <w:b/>
                <w:bCs/>
              </w:rPr>
              <w:t>At least £300</w:t>
            </w:r>
          </w:p>
          <w:p w14:paraId="6A68EA47" w14:textId="77777777" w:rsidR="005F2797" w:rsidRPr="00B02B3D" w:rsidRDefault="005F2797" w:rsidP="00B02B3D">
            <w:pPr>
              <w:rPr>
                <w:b/>
              </w:rPr>
            </w:pPr>
            <w:r w:rsidRPr="00B02B3D">
              <w:rPr>
                <w:rFonts w:eastAsia="Arial"/>
                <w:b/>
              </w:rPr>
              <w:t xml:space="preserve"> </w:t>
            </w:r>
          </w:p>
        </w:tc>
        <w:tc>
          <w:tcPr>
            <w:tcW w:w="969" w:type="dxa"/>
            <w:tcBorders>
              <w:top w:val="single" w:sz="8" w:space="0" w:color="auto"/>
              <w:left w:val="single" w:sz="8" w:space="0" w:color="auto"/>
              <w:bottom w:val="single" w:sz="8" w:space="0" w:color="auto"/>
              <w:right w:val="single" w:sz="8" w:space="0" w:color="auto"/>
            </w:tcBorders>
          </w:tcPr>
          <w:p w14:paraId="55F084CD" w14:textId="77777777" w:rsidR="005F2797" w:rsidRPr="00B02B3D" w:rsidRDefault="005F2797" w:rsidP="00B02B3D">
            <w:pPr>
              <w:rPr>
                <w:b/>
              </w:rPr>
            </w:pPr>
            <w:r w:rsidRPr="00B02B3D">
              <w:rPr>
                <w:rFonts w:eastAsia="Arial"/>
                <w:b/>
                <w:bCs/>
              </w:rPr>
              <w:t>Total - with DCO more than £0</w:t>
            </w:r>
          </w:p>
        </w:tc>
        <w:tc>
          <w:tcPr>
            <w:tcW w:w="817" w:type="dxa"/>
            <w:tcBorders>
              <w:top w:val="single" w:sz="8" w:space="0" w:color="auto"/>
              <w:left w:val="single" w:sz="8" w:space="0" w:color="auto"/>
              <w:bottom w:val="single" w:sz="8" w:space="0" w:color="auto"/>
              <w:right w:val="single" w:sz="8" w:space="0" w:color="auto"/>
            </w:tcBorders>
          </w:tcPr>
          <w:p w14:paraId="0723929B" w14:textId="77777777" w:rsidR="005F2797" w:rsidRPr="00B02B3D" w:rsidRDefault="005F2797" w:rsidP="00B02B3D">
            <w:pPr>
              <w:rPr>
                <w:b/>
              </w:rPr>
            </w:pPr>
            <w:r w:rsidRPr="00B02B3D">
              <w:rPr>
                <w:rFonts w:eastAsia="Arial"/>
                <w:b/>
                <w:bCs/>
              </w:rPr>
              <w:t>Total</w:t>
            </w:r>
          </w:p>
          <w:p w14:paraId="7ABBE786" w14:textId="77777777" w:rsidR="005F2797" w:rsidRPr="00B02B3D" w:rsidRDefault="005F2797" w:rsidP="00B02B3D">
            <w:pPr>
              <w:rPr>
                <w:b/>
              </w:rPr>
            </w:pPr>
            <w:r w:rsidRPr="00B02B3D">
              <w:rPr>
                <w:rFonts w:eastAsia="Arial"/>
                <w:b/>
              </w:rPr>
              <w:t xml:space="preserve"> </w:t>
            </w:r>
          </w:p>
        </w:tc>
      </w:tr>
      <w:tr w:rsidR="005F2797" w:rsidRPr="00D03EEE" w14:paraId="1FC8C4F3" w14:textId="77777777" w:rsidTr="00B02B3D">
        <w:trPr>
          <w:trHeight w:val="825"/>
        </w:trPr>
        <w:tc>
          <w:tcPr>
            <w:tcW w:w="1833" w:type="dxa"/>
            <w:tcBorders>
              <w:top w:val="single" w:sz="8" w:space="0" w:color="auto"/>
              <w:left w:val="single" w:sz="8" w:space="0" w:color="auto"/>
              <w:bottom w:val="single" w:sz="8" w:space="0" w:color="auto"/>
              <w:right w:val="single" w:sz="8" w:space="0" w:color="auto"/>
            </w:tcBorders>
          </w:tcPr>
          <w:p w14:paraId="706BFE65" w14:textId="2949C1E2" w:rsidR="005F2797" w:rsidRPr="00D03EEE" w:rsidRDefault="005F2797" w:rsidP="00B02B3D">
            <w:r w:rsidRPr="00D03EEE">
              <w:rPr>
                <w:rFonts w:eastAsia="Arial"/>
                <w:bCs/>
              </w:rPr>
              <w:t>Number of debtor applications</w:t>
            </w:r>
          </w:p>
        </w:tc>
        <w:tc>
          <w:tcPr>
            <w:tcW w:w="851" w:type="dxa"/>
            <w:tcBorders>
              <w:top w:val="single" w:sz="8" w:space="0" w:color="auto"/>
              <w:left w:val="single" w:sz="8" w:space="0" w:color="auto"/>
              <w:bottom w:val="single" w:sz="8" w:space="0" w:color="auto"/>
              <w:right w:val="single" w:sz="8" w:space="0" w:color="auto"/>
            </w:tcBorders>
          </w:tcPr>
          <w:p w14:paraId="7A0B539C" w14:textId="77777777" w:rsidR="005F2797" w:rsidRPr="00D03EEE" w:rsidRDefault="005F2797" w:rsidP="00B02B3D">
            <w:r w:rsidRPr="00D03EEE">
              <w:rPr>
                <w:rFonts w:eastAsia="Arial"/>
                <w:bCs/>
              </w:rPr>
              <w:t>8,423</w:t>
            </w:r>
          </w:p>
          <w:p w14:paraId="1F938FAB" w14:textId="77777777" w:rsidR="005F2797" w:rsidRPr="00D03EEE" w:rsidRDefault="005F2797" w:rsidP="00B02B3D">
            <w:r w:rsidRPr="00D03EEE">
              <w:rPr>
                <w:rFonts w:eastAsia="Arial"/>
              </w:rPr>
              <w:t xml:space="preserve"> </w:t>
            </w:r>
          </w:p>
        </w:tc>
        <w:tc>
          <w:tcPr>
            <w:tcW w:w="1275" w:type="dxa"/>
            <w:tcBorders>
              <w:top w:val="single" w:sz="8" w:space="0" w:color="auto"/>
              <w:left w:val="single" w:sz="8" w:space="0" w:color="auto"/>
              <w:bottom w:val="single" w:sz="8" w:space="0" w:color="auto"/>
              <w:right w:val="single" w:sz="8" w:space="0" w:color="auto"/>
            </w:tcBorders>
          </w:tcPr>
          <w:p w14:paraId="7AFB60AB" w14:textId="77777777" w:rsidR="005F2797" w:rsidRPr="00D03EEE" w:rsidRDefault="005F2797" w:rsidP="00B02B3D">
            <w:r w:rsidRPr="00D03EEE">
              <w:rPr>
                <w:rFonts w:eastAsia="Arial"/>
                <w:bCs/>
              </w:rPr>
              <w:t>437</w:t>
            </w:r>
          </w:p>
          <w:p w14:paraId="18B88040" w14:textId="77777777" w:rsidR="005F2797" w:rsidRPr="00D03EEE" w:rsidRDefault="005F2797" w:rsidP="00B02B3D">
            <w:r w:rsidRPr="00D03EEE">
              <w:rPr>
                <w:rFonts w:eastAsia="Arial"/>
              </w:rPr>
              <w:t xml:space="preserve"> </w:t>
            </w:r>
          </w:p>
        </w:tc>
        <w:tc>
          <w:tcPr>
            <w:tcW w:w="1276" w:type="dxa"/>
            <w:tcBorders>
              <w:top w:val="single" w:sz="8" w:space="0" w:color="auto"/>
              <w:left w:val="single" w:sz="8" w:space="0" w:color="auto"/>
              <w:bottom w:val="single" w:sz="8" w:space="0" w:color="auto"/>
              <w:right w:val="single" w:sz="8" w:space="0" w:color="auto"/>
            </w:tcBorders>
          </w:tcPr>
          <w:p w14:paraId="791CE21A" w14:textId="77777777" w:rsidR="005F2797" w:rsidRPr="00D03EEE" w:rsidRDefault="005F2797" w:rsidP="00B02B3D">
            <w:r w:rsidRPr="00D03EEE">
              <w:rPr>
                <w:rFonts w:eastAsia="Arial"/>
                <w:bCs/>
              </w:rPr>
              <w:t>650</w:t>
            </w:r>
          </w:p>
          <w:p w14:paraId="641AEAE4" w14:textId="77777777" w:rsidR="005F2797" w:rsidRPr="00D03EEE" w:rsidRDefault="005F2797" w:rsidP="00B02B3D">
            <w:r w:rsidRPr="00D03EEE">
              <w:rPr>
                <w:rFonts w:eastAsia="Arial"/>
              </w:rPr>
              <w:t xml:space="preserve"> </w:t>
            </w:r>
          </w:p>
        </w:tc>
        <w:tc>
          <w:tcPr>
            <w:tcW w:w="1221" w:type="dxa"/>
            <w:tcBorders>
              <w:top w:val="single" w:sz="8" w:space="0" w:color="auto"/>
              <w:left w:val="single" w:sz="8" w:space="0" w:color="auto"/>
              <w:bottom w:val="single" w:sz="8" w:space="0" w:color="auto"/>
              <w:right w:val="single" w:sz="8" w:space="0" w:color="auto"/>
            </w:tcBorders>
          </w:tcPr>
          <w:p w14:paraId="77B218F2" w14:textId="77777777" w:rsidR="005F2797" w:rsidRPr="00D03EEE" w:rsidRDefault="005F2797" w:rsidP="00B02B3D">
            <w:r w:rsidRPr="00D03EEE">
              <w:rPr>
                <w:rFonts w:eastAsia="Arial"/>
                <w:bCs/>
              </w:rPr>
              <w:t>175</w:t>
            </w:r>
          </w:p>
          <w:p w14:paraId="0674003E" w14:textId="77777777" w:rsidR="005F2797" w:rsidRPr="00D03EEE" w:rsidRDefault="005F2797" w:rsidP="00B02B3D">
            <w:r w:rsidRPr="00D03EEE">
              <w:rPr>
                <w:rFonts w:eastAsia="Arial"/>
              </w:rPr>
              <w:t xml:space="preserve"> </w:t>
            </w:r>
          </w:p>
        </w:tc>
        <w:tc>
          <w:tcPr>
            <w:tcW w:w="764" w:type="dxa"/>
            <w:tcBorders>
              <w:top w:val="single" w:sz="8" w:space="0" w:color="auto"/>
              <w:left w:val="single" w:sz="8" w:space="0" w:color="auto"/>
              <w:bottom w:val="single" w:sz="8" w:space="0" w:color="auto"/>
              <w:right w:val="single" w:sz="8" w:space="0" w:color="auto"/>
            </w:tcBorders>
          </w:tcPr>
          <w:p w14:paraId="2B39F59C" w14:textId="77777777" w:rsidR="005F2797" w:rsidRPr="00D03EEE" w:rsidRDefault="005F2797" w:rsidP="00B02B3D">
            <w:r w:rsidRPr="00D03EEE">
              <w:rPr>
                <w:rFonts w:eastAsia="Arial"/>
                <w:bCs/>
              </w:rPr>
              <w:t>170</w:t>
            </w:r>
          </w:p>
          <w:p w14:paraId="69902627" w14:textId="77777777" w:rsidR="005F2797" w:rsidRPr="00D03EEE" w:rsidRDefault="005F2797" w:rsidP="00B02B3D">
            <w:r w:rsidRPr="00D03EEE">
              <w:rPr>
                <w:rFonts w:eastAsia="Arial"/>
              </w:rPr>
              <w:t xml:space="preserve"> </w:t>
            </w:r>
          </w:p>
        </w:tc>
        <w:tc>
          <w:tcPr>
            <w:tcW w:w="969" w:type="dxa"/>
            <w:tcBorders>
              <w:top w:val="single" w:sz="8" w:space="0" w:color="auto"/>
              <w:left w:val="single" w:sz="8" w:space="0" w:color="auto"/>
              <w:bottom w:val="single" w:sz="8" w:space="0" w:color="auto"/>
              <w:right w:val="single" w:sz="8" w:space="0" w:color="auto"/>
            </w:tcBorders>
          </w:tcPr>
          <w:p w14:paraId="5A14A71E" w14:textId="77777777" w:rsidR="005F2797" w:rsidRPr="00D03EEE" w:rsidRDefault="005F2797" w:rsidP="00B02B3D">
            <w:r w:rsidRPr="00D03EEE">
              <w:rPr>
                <w:rFonts w:eastAsia="Arial"/>
                <w:bCs/>
              </w:rPr>
              <w:t>1,432</w:t>
            </w:r>
          </w:p>
          <w:p w14:paraId="655C1AE3" w14:textId="77777777" w:rsidR="005F2797" w:rsidRPr="00D03EEE" w:rsidRDefault="005F2797" w:rsidP="00B02B3D">
            <w:r w:rsidRPr="00D03EEE">
              <w:rPr>
                <w:rFonts w:eastAsia="Arial"/>
              </w:rPr>
              <w:t xml:space="preserve"> </w:t>
            </w:r>
          </w:p>
        </w:tc>
        <w:tc>
          <w:tcPr>
            <w:tcW w:w="817" w:type="dxa"/>
            <w:tcBorders>
              <w:top w:val="single" w:sz="8" w:space="0" w:color="auto"/>
              <w:left w:val="single" w:sz="8" w:space="0" w:color="auto"/>
              <w:bottom w:val="single" w:sz="8" w:space="0" w:color="auto"/>
              <w:right w:val="single" w:sz="8" w:space="0" w:color="auto"/>
            </w:tcBorders>
          </w:tcPr>
          <w:p w14:paraId="1980735F" w14:textId="77777777" w:rsidR="005F2797" w:rsidRPr="00D03EEE" w:rsidRDefault="005F2797" w:rsidP="00B02B3D">
            <w:r w:rsidRPr="00D03EEE">
              <w:rPr>
                <w:rFonts w:eastAsia="Arial"/>
                <w:bCs/>
              </w:rPr>
              <w:t>9,855</w:t>
            </w:r>
          </w:p>
          <w:p w14:paraId="6FD6D57B" w14:textId="77777777" w:rsidR="005F2797" w:rsidRPr="00D03EEE" w:rsidRDefault="005F2797" w:rsidP="00B02B3D">
            <w:r w:rsidRPr="00D03EEE">
              <w:rPr>
                <w:rFonts w:eastAsia="Arial"/>
              </w:rPr>
              <w:t xml:space="preserve"> </w:t>
            </w:r>
          </w:p>
        </w:tc>
      </w:tr>
      <w:tr w:rsidR="005F2797" w:rsidRPr="00D03EEE" w14:paraId="219BF076" w14:textId="77777777" w:rsidTr="00B02B3D">
        <w:trPr>
          <w:trHeight w:val="555"/>
        </w:trPr>
        <w:tc>
          <w:tcPr>
            <w:tcW w:w="1833" w:type="dxa"/>
            <w:tcBorders>
              <w:top w:val="single" w:sz="8" w:space="0" w:color="auto"/>
              <w:left w:val="single" w:sz="8" w:space="0" w:color="auto"/>
              <w:bottom w:val="single" w:sz="8" w:space="0" w:color="auto"/>
              <w:right w:val="single" w:sz="8" w:space="0" w:color="auto"/>
            </w:tcBorders>
          </w:tcPr>
          <w:p w14:paraId="74385C17" w14:textId="77777777" w:rsidR="005F2797" w:rsidRPr="00D03EEE" w:rsidRDefault="005F2797" w:rsidP="00B02B3D">
            <w:r w:rsidRPr="00D03EEE">
              <w:rPr>
                <w:rFonts w:eastAsia="Arial"/>
              </w:rPr>
              <w:t>of which annual income: £0</w:t>
            </w:r>
          </w:p>
        </w:tc>
        <w:tc>
          <w:tcPr>
            <w:tcW w:w="851" w:type="dxa"/>
            <w:tcBorders>
              <w:top w:val="single" w:sz="8" w:space="0" w:color="auto"/>
              <w:left w:val="single" w:sz="8" w:space="0" w:color="auto"/>
              <w:bottom w:val="single" w:sz="8" w:space="0" w:color="auto"/>
              <w:right w:val="single" w:sz="8" w:space="0" w:color="auto"/>
            </w:tcBorders>
          </w:tcPr>
          <w:p w14:paraId="3131D8F0" w14:textId="77777777" w:rsidR="005F2797" w:rsidRPr="00D03EEE" w:rsidRDefault="005F2797" w:rsidP="00B02B3D">
            <w:r w:rsidRPr="00D03EEE">
              <w:rPr>
                <w:rFonts w:eastAsia="Arial"/>
              </w:rPr>
              <w:t>216</w:t>
            </w:r>
          </w:p>
          <w:p w14:paraId="605C4F52" w14:textId="77777777" w:rsidR="005F2797" w:rsidRPr="00D03EEE" w:rsidRDefault="005F2797" w:rsidP="00B02B3D">
            <w:r w:rsidRPr="00D03EEE">
              <w:rPr>
                <w:rFonts w:eastAsia="Arial"/>
              </w:rPr>
              <w:t xml:space="preserve"> </w:t>
            </w:r>
          </w:p>
        </w:tc>
        <w:tc>
          <w:tcPr>
            <w:tcW w:w="1275" w:type="dxa"/>
            <w:tcBorders>
              <w:top w:val="single" w:sz="8" w:space="0" w:color="auto"/>
              <w:left w:val="single" w:sz="8" w:space="0" w:color="auto"/>
              <w:bottom w:val="single" w:sz="8" w:space="0" w:color="auto"/>
              <w:right w:val="single" w:sz="8" w:space="0" w:color="auto"/>
            </w:tcBorders>
          </w:tcPr>
          <w:p w14:paraId="505BD85A" w14:textId="77777777" w:rsidR="005F2797" w:rsidRPr="00D03EEE" w:rsidRDefault="005F2797" w:rsidP="00B02B3D">
            <w:r w:rsidRPr="00D03EEE">
              <w:rPr>
                <w:rFonts w:eastAsia="Arial"/>
              </w:rPr>
              <w:t>0</w:t>
            </w:r>
          </w:p>
          <w:p w14:paraId="6E87CD2F" w14:textId="77777777" w:rsidR="005F2797" w:rsidRPr="00D03EEE" w:rsidRDefault="005F2797" w:rsidP="00B02B3D">
            <w:r w:rsidRPr="00D03EEE">
              <w:rPr>
                <w:rFonts w:eastAsia="Arial"/>
              </w:rPr>
              <w:t xml:space="preserve"> </w:t>
            </w:r>
          </w:p>
        </w:tc>
        <w:tc>
          <w:tcPr>
            <w:tcW w:w="1276" w:type="dxa"/>
            <w:tcBorders>
              <w:top w:val="single" w:sz="8" w:space="0" w:color="auto"/>
              <w:left w:val="single" w:sz="8" w:space="0" w:color="auto"/>
              <w:bottom w:val="single" w:sz="8" w:space="0" w:color="auto"/>
              <w:right w:val="single" w:sz="8" w:space="0" w:color="auto"/>
            </w:tcBorders>
          </w:tcPr>
          <w:p w14:paraId="6AD771C4" w14:textId="77777777" w:rsidR="005F2797" w:rsidRPr="00D03EEE" w:rsidRDefault="005F2797" w:rsidP="00B02B3D">
            <w:r w:rsidRPr="00D03EEE">
              <w:rPr>
                <w:rFonts w:eastAsia="Arial"/>
              </w:rPr>
              <w:t>0</w:t>
            </w:r>
          </w:p>
          <w:p w14:paraId="66346968" w14:textId="77777777" w:rsidR="005F2797" w:rsidRPr="00D03EEE" w:rsidRDefault="005F2797" w:rsidP="00B02B3D">
            <w:r w:rsidRPr="00D03EEE">
              <w:rPr>
                <w:rFonts w:eastAsia="Arial"/>
              </w:rPr>
              <w:t xml:space="preserve"> </w:t>
            </w:r>
          </w:p>
        </w:tc>
        <w:tc>
          <w:tcPr>
            <w:tcW w:w="1221" w:type="dxa"/>
            <w:tcBorders>
              <w:top w:val="single" w:sz="8" w:space="0" w:color="auto"/>
              <w:left w:val="single" w:sz="8" w:space="0" w:color="auto"/>
              <w:bottom w:val="single" w:sz="8" w:space="0" w:color="auto"/>
              <w:right w:val="single" w:sz="8" w:space="0" w:color="auto"/>
            </w:tcBorders>
          </w:tcPr>
          <w:p w14:paraId="03BCA8B4" w14:textId="77777777" w:rsidR="005F2797" w:rsidRPr="00D03EEE" w:rsidRDefault="005F2797" w:rsidP="00B02B3D">
            <w:r w:rsidRPr="00D03EEE">
              <w:rPr>
                <w:rFonts w:eastAsia="Arial"/>
              </w:rPr>
              <w:t>0</w:t>
            </w:r>
          </w:p>
          <w:p w14:paraId="77A0C6C5" w14:textId="77777777" w:rsidR="005F2797" w:rsidRPr="00D03EEE" w:rsidRDefault="005F2797" w:rsidP="00B02B3D">
            <w:r w:rsidRPr="00D03EEE">
              <w:rPr>
                <w:rFonts w:eastAsia="Arial"/>
              </w:rPr>
              <w:t xml:space="preserve"> </w:t>
            </w:r>
          </w:p>
        </w:tc>
        <w:tc>
          <w:tcPr>
            <w:tcW w:w="764" w:type="dxa"/>
            <w:tcBorders>
              <w:top w:val="single" w:sz="8" w:space="0" w:color="auto"/>
              <w:left w:val="single" w:sz="8" w:space="0" w:color="auto"/>
              <w:bottom w:val="single" w:sz="8" w:space="0" w:color="auto"/>
              <w:right w:val="single" w:sz="8" w:space="0" w:color="auto"/>
            </w:tcBorders>
          </w:tcPr>
          <w:p w14:paraId="6DF67B69" w14:textId="77777777" w:rsidR="005F2797" w:rsidRPr="00D03EEE" w:rsidRDefault="005F2797" w:rsidP="00B02B3D">
            <w:r w:rsidRPr="00D03EEE">
              <w:rPr>
                <w:rFonts w:eastAsia="Arial"/>
              </w:rPr>
              <w:t>0</w:t>
            </w:r>
          </w:p>
          <w:p w14:paraId="23E95120" w14:textId="77777777" w:rsidR="005F2797" w:rsidRPr="00D03EEE" w:rsidRDefault="005F2797" w:rsidP="00B02B3D">
            <w:r w:rsidRPr="00D03EEE">
              <w:rPr>
                <w:rFonts w:eastAsia="Arial"/>
              </w:rPr>
              <w:t xml:space="preserve"> </w:t>
            </w:r>
          </w:p>
        </w:tc>
        <w:tc>
          <w:tcPr>
            <w:tcW w:w="969" w:type="dxa"/>
            <w:tcBorders>
              <w:top w:val="single" w:sz="8" w:space="0" w:color="auto"/>
              <w:left w:val="single" w:sz="8" w:space="0" w:color="auto"/>
              <w:bottom w:val="single" w:sz="8" w:space="0" w:color="auto"/>
              <w:right w:val="single" w:sz="8" w:space="0" w:color="auto"/>
            </w:tcBorders>
          </w:tcPr>
          <w:p w14:paraId="48D9F458" w14:textId="77777777" w:rsidR="005F2797" w:rsidRPr="00D03EEE" w:rsidRDefault="005F2797" w:rsidP="00B02B3D">
            <w:r w:rsidRPr="00D03EEE">
              <w:rPr>
                <w:rFonts w:eastAsia="Arial"/>
              </w:rPr>
              <w:t>0</w:t>
            </w:r>
          </w:p>
          <w:p w14:paraId="6C7FA4E4" w14:textId="77777777" w:rsidR="005F2797" w:rsidRPr="00D03EEE" w:rsidRDefault="005F2797" w:rsidP="00B02B3D">
            <w:r w:rsidRPr="00D03EEE">
              <w:rPr>
                <w:rFonts w:eastAsia="Arial"/>
              </w:rPr>
              <w:t xml:space="preserve"> </w:t>
            </w:r>
          </w:p>
        </w:tc>
        <w:tc>
          <w:tcPr>
            <w:tcW w:w="817" w:type="dxa"/>
            <w:tcBorders>
              <w:top w:val="single" w:sz="8" w:space="0" w:color="auto"/>
              <w:left w:val="single" w:sz="8" w:space="0" w:color="auto"/>
              <w:bottom w:val="single" w:sz="8" w:space="0" w:color="auto"/>
              <w:right w:val="single" w:sz="8" w:space="0" w:color="auto"/>
            </w:tcBorders>
          </w:tcPr>
          <w:p w14:paraId="77E59F42" w14:textId="77777777" w:rsidR="005F2797" w:rsidRPr="00D03EEE" w:rsidRDefault="005F2797" w:rsidP="00B02B3D">
            <w:r w:rsidRPr="00D03EEE">
              <w:rPr>
                <w:rFonts w:eastAsia="Arial"/>
              </w:rPr>
              <w:t>216</w:t>
            </w:r>
          </w:p>
          <w:p w14:paraId="3F1B9E7D" w14:textId="77777777" w:rsidR="005F2797" w:rsidRPr="00D03EEE" w:rsidRDefault="005F2797" w:rsidP="00B02B3D">
            <w:r w:rsidRPr="00D03EEE">
              <w:rPr>
                <w:rFonts w:eastAsia="Arial"/>
              </w:rPr>
              <w:t xml:space="preserve"> </w:t>
            </w:r>
          </w:p>
        </w:tc>
      </w:tr>
      <w:tr w:rsidR="005F2797" w:rsidRPr="00D03EEE" w14:paraId="2D167113" w14:textId="77777777" w:rsidTr="00B02B3D">
        <w:trPr>
          <w:trHeight w:val="540"/>
        </w:trPr>
        <w:tc>
          <w:tcPr>
            <w:tcW w:w="1833" w:type="dxa"/>
            <w:tcBorders>
              <w:top w:val="single" w:sz="8" w:space="0" w:color="auto"/>
              <w:left w:val="single" w:sz="8" w:space="0" w:color="auto"/>
              <w:bottom w:val="single" w:sz="8" w:space="0" w:color="auto"/>
              <w:right w:val="single" w:sz="8" w:space="0" w:color="auto"/>
            </w:tcBorders>
          </w:tcPr>
          <w:p w14:paraId="7664AA8B" w14:textId="77777777" w:rsidR="005F2797" w:rsidRPr="00D03EEE" w:rsidRDefault="005F2797" w:rsidP="00B02B3D">
            <w:r w:rsidRPr="00D03EEE">
              <w:rPr>
                <w:rFonts w:eastAsia="Arial"/>
              </w:rPr>
              <w:t>of which annual income: Less than £15,000</w:t>
            </w:r>
          </w:p>
        </w:tc>
        <w:tc>
          <w:tcPr>
            <w:tcW w:w="851" w:type="dxa"/>
            <w:tcBorders>
              <w:top w:val="single" w:sz="8" w:space="0" w:color="auto"/>
              <w:left w:val="single" w:sz="8" w:space="0" w:color="auto"/>
              <w:bottom w:val="single" w:sz="8" w:space="0" w:color="auto"/>
              <w:right w:val="single" w:sz="8" w:space="0" w:color="auto"/>
            </w:tcBorders>
          </w:tcPr>
          <w:p w14:paraId="0EEF81DF" w14:textId="77777777" w:rsidR="005F2797" w:rsidRPr="00D03EEE" w:rsidRDefault="005F2797" w:rsidP="00B02B3D">
            <w:r w:rsidRPr="00D03EEE">
              <w:rPr>
                <w:rFonts w:eastAsia="Arial"/>
              </w:rPr>
              <w:t>4,682</w:t>
            </w:r>
          </w:p>
          <w:p w14:paraId="155606BB" w14:textId="77777777" w:rsidR="005F2797" w:rsidRPr="00D03EEE" w:rsidRDefault="005F2797" w:rsidP="00B02B3D">
            <w:r w:rsidRPr="00D03EEE">
              <w:rPr>
                <w:rFonts w:eastAsia="Arial"/>
              </w:rPr>
              <w:t xml:space="preserve"> </w:t>
            </w:r>
          </w:p>
        </w:tc>
        <w:tc>
          <w:tcPr>
            <w:tcW w:w="1275" w:type="dxa"/>
            <w:tcBorders>
              <w:top w:val="single" w:sz="8" w:space="0" w:color="auto"/>
              <w:left w:val="single" w:sz="8" w:space="0" w:color="auto"/>
              <w:bottom w:val="single" w:sz="8" w:space="0" w:color="auto"/>
              <w:right w:val="single" w:sz="8" w:space="0" w:color="auto"/>
            </w:tcBorders>
          </w:tcPr>
          <w:p w14:paraId="204CE8AF" w14:textId="77777777" w:rsidR="005F2797" w:rsidRPr="00D03EEE" w:rsidRDefault="005F2797" w:rsidP="00B02B3D">
            <w:r w:rsidRPr="00D03EEE">
              <w:rPr>
                <w:rFonts w:eastAsia="Arial"/>
              </w:rPr>
              <w:t>114</w:t>
            </w:r>
          </w:p>
          <w:p w14:paraId="4187569E" w14:textId="77777777" w:rsidR="005F2797" w:rsidRPr="00D03EEE" w:rsidRDefault="005F2797" w:rsidP="00B02B3D">
            <w:r w:rsidRPr="00D03EEE">
              <w:rPr>
                <w:rFonts w:eastAsia="Arial"/>
              </w:rPr>
              <w:t xml:space="preserve"> </w:t>
            </w:r>
          </w:p>
        </w:tc>
        <w:tc>
          <w:tcPr>
            <w:tcW w:w="1276" w:type="dxa"/>
            <w:tcBorders>
              <w:top w:val="single" w:sz="8" w:space="0" w:color="auto"/>
              <w:left w:val="single" w:sz="8" w:space="0" w:color="auto"/>
              <w:bottom w:val="single" w:sz="8" w:space="0" w:color="auto"/>
              <w:right w:val="single" w:sz="8" w:space="0" w:color="auto"/>
            </w:tcBorders>
          </w:tcPr>
          <w:p w14:paraId="0012CB76" w14:textId="77777777" w:rsidR="005F2797" w:rsidRPr="00D03EEE" w:rsidRDefault="005F2797" w:rsidP="00B02B3D">
            <w:r w:rsidRPr="00D03EEE">
              <w:rPr>
                <w:rFonts w:eastAsia="Arial"/>
              </w:rPr>
              <w:t>71</w:t>
            </w:r>
          </w:p>
          <w:p w14:paraId="6C141C18" w14:textId="77777777" w:rsidR="005F2797" w:rsidRPr="00D03EEE" w:rsidRDefault="005F2797" w:rsidP="00B02B3D">
            <w:r w:rsidRPr="00D03EEE">
              <w:rPr>
                <w:rFonts w:eastAsia="Arial"/>
              </w:rPr>
              <w:t xml:space="preserve"> </w:t>
            </w:r>
          </w:p>
        </w:tc>
        <w:tc>
          <w:tcPr>
            <w:tcW w:w="1221" w:type="dxa"/>
            <w:tcBorders>
              <w:top w:val="single" w:sz="8" w:space="0" w:color="auto"/>
              <w:left w:val="single" w:sz="8" w:space="0" w:color="auto"/>
              <w:bottom w:val="single" w:sz="8" w:space="0" w:color="auto"/>
              <w:right w:val="single" w:sz="8" w:space="0" w:color="auto"/>
            </w:tcBorders>
          </w:tcPr>
          <w:p w14:paraId="5A86C7B2" w14:textId="77777777" w:rsidR="005F2797" w:rsidRPr="00D03EEE" w:rsidRDefault="005F2797" w:rsidP="00B02B3D">
            <w:r w:rsidRPr="00D03EEE">
              <w:rPr>
                <w:rFonts w:eastAsia="Arial"/>
              </w:rPr>
              <w:t>9</w:t>
            </w:r>
          </w:p>
          <w:p w14:paraId="7FA7CC68" w14:textId="77777777" w:rsidR="005F2797" w:rsidRPr="00D03EEE" w:rsidRDefault="005F2797" w:rsidP="00B02B3D">
            <w:r w:rsidRPr="00D03EEE">
              <w:rPr>
                <w:rFonts w:eastAsia="Arial"/>
              </w:rPr>
              <w:t xml:space="preserve"> </w:t>
            </w:r>
          </w:p>
        </w:tc>
        <w:tc>
          <w:tcPr>
            <w:tcW w:w="764" w:type="dxa"/>
            <w:tcBorders>
              <w:top w:val="single" w:sz="8" w:space="0" w:color="auto"/>
              <w:left w:val="single" w:sz="8" w:space="0" w:color="auto"/>
              <w:bottom w:val="single" w:sz="8" w:space="0" w:color="auto"/>
              <w:right w:val="single" w:sz="8" w:space="0" w:color="auto"/>
            </w:tcBorders>
          </w:tcPr>
          <w:p w14:paraId="63599C54" w14:textId="77777777" w:rsidR="005F2797" w:rsidRPr="00D03EEE" w:rsidRDefault="005F2797" w:rsidP="00B02B3D">
            <w:r w:rsidRPr="00D03EEE">
              <w:rPr>
                <w:rFonts w:eastAsia="Arial"/>
              </w:rPr>
              <w:t>0</w:t>
            </w:r>
          </w:p>
          <w:p w14:paraId="7FCF27BD" w14:textId="77777777" w:rsidR="005F2797" w:rsidRPr="00D03EEE" w:rsidRDefault="005F2797" w:rsidP="00B02B3D">
            <w:r w:rsidRPr="00D03EEE">
              <w:rPr>
                <w:rFonts w:eastAsia="Arial"/>
              </w:rPr>
              <w:t xml:space="preserve"> </w:t>
            </w:r>
          </w:p>
        </w:tc>
        <w:tc>
          <w:tcPr>
            <w:tcW w:w="969" w:type="dxa"/>
            <w:tcBorders>
              <w:top w:val="single" w:sz="8" w:space="0" w:color="auto"/>
              <w:left w:val="single" w:sz="8" w:space="0" w:color="auto"/>
              <w:bottom w:val="single" w:sz="8" w:space="0" w:color="auto"/>
              <w:right w:val="single" w:sz="8" w:space="0" w:color="auto"/>
            </w:tcBorders>
          </w:tcPr>
          <w:p w14:paraId="49348D13" w14:textId="77777777" w:rsidR="005F2797" w:rsidRPr="00D03EEE" w:rsidRDefault="005F2797" w:rsidP="00B02B3D">
            <w:r w:rsidRPr="00D03EEE">
              <w:rPr>
                <w:rFonts w:eastAsia="Arial"/>
              </w:rPr>
              <w:t>194</w:t>
            </w:r>
          </w:p>
          <w:p w14:paraId="0014DEDC" w14:textId="77777777" w:rsidR="005F2797" w:rsidRPr="00D03EEE" w:rsidRDefault="005F2797" w:rsidP="00B02B3D">
            <w:r w:rsidRPr="00D03EEE">
              <w:rPr>
                <w:rFonts w:eastAsia="Arial"/>
              </w:rPr>
              <w:t xml:space="preserve"> </w:t>
            </w:r>
          </w:p>
        </w:tc>
        <w:tc>
          <w:tcPr>
            <w:tcW w:w="817" w:type="dxa"/>
            <w:tcBorders>
              <w:top w:val="single" w:sz="8" w:space="0" w:color="auto"/>
              <w:left w:val="single" w:sz="8" w:space="0" w:color="auto"/>
              <w:bottom w:val="single" w:sz="8" w:space="0" w:color="auto"/>
              <w:right w:val="single" w:sz="8" w:space="0" w:color="auto"/>
            </w:tcBorders>
          </w:tcPr>
          <w:p w14:paraId="3BB63FF1" w14:textId="77777777" w:rsidR="005F2797" w:rsidRPr="00D03EEE" w:rsidRDefault="005F2797" w:rsidP="00B02B3D">
            <w:r w:rsidRPr="00D03EEE">
              <w:rPr>
                <w:rFonts w:eastAsia="Arial"/>
              </w:rPr>
              <w:t>4,876</w:t>
            </w:r>
          </w:p>
          <w:p w14:paraId="59BFC5DC" w14:textId="77777777" w:rsidR="005F2797" w:rsidRPr="00D03EEE" w:rsidRDefault="005F2797" w:rsidP="00B02B3D">
            <w:r w:rsidRPr="00D03EEE">
              <w:rPr>
                <w:rFonts w:eastAsia="Arial"/>
              </w:rPr>
              <w:t xml:space="preserve"> </w:t>
            </w:r>
          </w:p>
        </w:tc>
      </w:tr>
      <w:tr w:rsidR="005F2797" w:rsidRPr="00D03EEE" w14:paraId="65354991" w14:textId="77777777" w:rsidTr="00B02B3D">
        <w:trPr>
          <w:trHeight w:val="885"/>
        </w:trPr>
        <w:tc>
          <w:tcPr>
            <w:tcW w:w="1833" w:type="dxa"/>
            <w:tcBorders>
              <w:top w:val="single" w:sz="8" w:space="0" w:color="auto"/>
              <w:left w:val="single" w:sz="8" w:space="0" w:color="auto"/>
              <w:bottom w:val="single" w:sz="8" w:space="0" w:color="auto"/>
              <w:right w:val="single" w:sz="8" w:space="0" w:color="auto"/>
            </w:tcBorders>
          </w:tcPr>
          <w:p w14:paraId="50FCABCF" w14:textId="77777777" w:rsidR="005F2797" w:rsidRPr="00D03EEE" w:rsidRDefault="005F2797" w:rsidP="00B02B3D">
            <w:r w:rsidRPr="00D03EEE">
              <w:rPr>
                <w:rFonts w:eastAsia="Arial"/>
              </w:rPr>
              <w:t>of which annual income: Between £15,000 and less than £20,000</w:t>
            </w:r>
          </w:p>
        </w:tc>
        <w:tc>
          <w:tcPr>
            <w:tcW w:w="851" w:type="dxa"/>
            <w:tcBorders>
              <w:top w:val="single" w:sz="8" w:space="0" w:color="auto"/>
              <w:left w:val="single" w:sz="8" w:space="0" w:color="auto"/>
              <w:bottom w:val="single" w:sz="8" w:space="0" w:color="auto"/>
              <w:right w:val="single" w:sz="8" w:space="0" w:color="auto"/>
            </w:tcBorders>
          </w:tcPr>
          <w:p w14:paraId="0858101A" w14:textId="77777777" w:rsidR="005F2797" w:rsidRPr="00D03EEE" w:rsidRDefault="005F2797" w:rsidP="00B02B3D">
            <w:r w:rsidRPr="00D03EEE">
              <w:rPr>
                <w:rFonts w:eastAsia="Arial"/>
              </w:rPr>
              <w:t>1,764</w:t>
            </w:r>
          </w:p>
          <w:p w14:paraId="356E5823" w14:textId="77777777" w:rsidR="005F2797" w:rsidRPr="00D03EEE" w:rsidRDefault="005F2797" w:rsidP="00B02B3D">
            <w:r w:rsidRPr="00D03EEE">
              <w:rPr>
                <w:rFonts w:eastAsia="Arial"/>
              </w:rPr>
              <w:t xml:space="preserve"> </w:t>
            </w:r>
          </w:p>
        </w:tc>
        <w:tc>
          <w:tcPr>
            <w:tcW w:w="1275" w:type="dxa"/>
            <w:tcBorders>
              <w:top w:val="single" w:sz="8" w:space="0" w:color="auto"/>
              <w:left w:val="single" w:sz="8" w:space="0" w:color="auto"/>
              <w:bottom w:val="single" w:sz="8" w:space="0" w:color="auto"/>
              <w:right w:val="single" w:sz="8" w:space="0" w:color="auto"/>
            </w:tcBorders>
          </w:tcPr>
          <w:p w14:paraId="65381460" w14:textId="77777777" w:rsidR="005F2797" w:rsidRPr="00D03EEE" w:rsidRDefault="005F2797" w:rsidP="00B02B3D">
            <w:r w:rsidRPr="00D03EEE">
              <w:rPr>
                <w:rFonts w:eastAsia="Arial"/>
              </w:rPr>
              <w:t>142</w:t>
            </w:r>
          </w:p>
          <w:p w14:paraId="337282AA" w14:textId="77777777" w:rsidR="005F2797" w:rsidRPr="00D03EEE" w:rsidRDefault="005F2797" w:rsidP="00B02B3D">
            <w:r w:rsidRPr="00D03EEE">
              <w:rPr>
                <w:rFonts w:eastAsia="Arial"/>
              </w:rPr>
              <w:t xml:space="preserve"> </w:t>
            </w:r>
          </w:p>
          <w:p w14:paraId="4B0B7ACA" w14:textId="77777777" w:rsidR="005F2797" w:rsidRPr="00D03EEE" w:rsidRDefault="005F2797" w:rsidP="00B02B3D">
            <w:r w:rsidRPr="00D03EEE">
              <w:rPr>
                <w:rFonts w:eastAsia="Arial"/>
              </w:rPr>
              <w:t xml:space="preserve"> </w:t>
            </w:r>
          </w:p>
        </w:tc>
        <w:tc>
          <w:tcPr>
            <w:tcW w:w="1276" w:type="dxa"/>
            <w:tcBorders>
              <w:top w:val="single" w:sz="8" w:space="0" w:color="auto"/>
              <w:left w:val="single" w:sz="8" w:space="0" w:color="auto"/>
              <w:bottom w:val="single" w:sz="8" w:space="0" w:color="auto"/>
              <w:right w:val="single" w:sz="8" w:space="0" w:color="auto"/>
            </w:tcBorders>
          </w:tcPr>
          <w:p w14:paraId="127278B8" w14:textId="77777777" w:rsidR="005F2797" w:rsidRPr="00D03EEE" w:rsidRDefault="005F2797" w:rsidP="00B02B3D">
            <w:r w:rsidRPr="00D03EEE">
              <w:rPr>
                <w:rFonts w:eastAsia="Arial"/>
              </w:rPr>
              <w:t>198</w:t>
            </w:r>
          </w:p>
          <w:p w14:paraId="4C8DDC72" w14:textId="77777777" w:rsidR="005F2797" w:rsidRPr="00D03EEE" w:rsidRDefault="005F2797" w:rsidP="00B02B3D">
            <w:r w:rsidRPr="00D03EEE">
              <w:rPr>
                <w:rFonts w:eastAsia="Arial"/>
              </w:rPr>
              <w:t xml:space="preserve"> </w:t>
            </w:r>
          </w:p>
        </w:tc>
        <w:tc>
          <w:tcPr>
            <w:tcW w:w="1221" w:type="dxa"/>
            <w:tcBorders>
              <w:top w:val="single" w:sz="8" w:space="0" w:color="auto"/>
              <w:left w:val="single" w:sz="8" w:space="0" w:color="auto"/>
              <w:bottom w:val="single" w:sz="8" w:space="0" w:color="auto"/>
              <w:right w:val="single" w:sz="8" w:space="0" w:color="auto"/>
            </w:tcBorders>
          </w:tcPr>
          <w:p w14:paraId="794EE4B1" w14:textId="77777777" w:rsidR="005F2797" w:rsidRPr="00D03EEE" w:rsidRDefault="005F2797" w:rsidP="00B02B3D">
            <w:r w:rsidRPr="00D03EEE">
              <w:rPr>
                <w:rFonts w:eastAsia="Arial"/>
              </w:rPr>
              <w:t>43</w:t>
            </w:r>
          </w:p>
          <w:p w14:paraId="62A84DFD" w14:textId="77777777" w:rsidR="005F2797" w:rsidRPr="00D03EEE" w:rsidRDefault="005F2797" w:rsidP="00B02B3D">
            <w:r w:rsidRPr="00D03EEE">
              <w:rPr>
                <w:rFonts w:eastAsia="Arial"/>
              </w:rPr>
              <w:t xml:space="preserve"> </w:t>
            </w:r>
          </w:p>
        </w:tc>
        <w:tc>
          <w:tcPr>
            <w:tcW w:w="764" w:type="dxa"/>
            <w:tcBorders>
              <w:top w:val="single" w:sz="8" w:space="0" w:color="auto"/>
              <w:left w:val="single" w:sz="8" w:space="0" w:color="auto"/>
              <w:bottom w:val="single" w:sz="8" w:space="0" w:color="auto"/>
              <w:right w:val="single" w:sz="8" w:space="0" w:color="auto"/>
            </w:tcBorders>
          </w:tcPr>
          <w:p w14:paraId="6DC4CE21" w14:textId="77777777" w:rsidR="005F2797" w:rsidRPr="00D03EEE" w:rsidRDefault="005F2797" w:rsidP="00B02B3D">
            <w:r w:rsidRPr="00D03EEE">
              <w:rPr>
                <w:rFonts w:eastAsia="Arial"/>
              </w:rPr>
              <w:t>19</w:t>
            </w:r>
          </w:p>
          <w:p w14:paraId="3224C56B" w14:textId="77777777" w:rsidR="005F2797" w:rsidRPr="00D03EEE" w:rsidRDefault="005F2797" w:rsidP="00B02B3D">
            <w:r w:rsidRPr="00D03EEE">
              <w:rPr>
                <w:rFonts w:eastAsia="Arial"/>
              </w:rPr>
              <w:t xml:space="preserve"> </w:t>
            </w:r>
          </w:p>
        </w:tc>
        <w:tc>
          <w:tcPr>
            <w:tcW w:w="969" w:type="dxa"/>
            <w:tcBorders>
              <w:top w:val="single" w:sz="8" w:space="0" w:color="auto"/>
              <w:left w:val="single" w:sz="8" w:space="0" w:color="auto"/>
              <w:bottom w:val="single" w:sz="8" w:space="0" w:color="auto"/>
              <w:right w:val="single" w:sz="8" w:space="0" w:color="auto"/>
            </w:tcBorders>
          </w:tcPr>
          <w:p w14:paraId="47B67668" w14:textId="77777777" w:rsidR="005F2797" w:rsidRPr="00D03EEE" w:rsidRDefault="005F2797" w:rsidP="00B02B3D">
            <w:r w:rsidRPr="00D03EEE">
              <w:rPr>
                <w:rFonts w:eastAsia="Arial"/>
              </w:rPr>
              <w:t>402</w:t>
            </w:r>
          </w:p>
          <w:p w14:paraId="3DE95A22" w14:textId="77777777" w:rsidR="005F2797" w:rsidRPr="00D03EEE" w:rsidRDefault="005F2797" w:rsidP="00B02B3D">
            <w:r w:rsidRPr="00D03EEE">
              <w:rPr>
                <w:rFonts w:eastAsia="Arial"/>
              </w:rPr>
              <w:t xml:space="preserve"> </w:t>
            </w:r>
          </w:p>
        </w:tc>
        <w:tc>
          <w:tcPr>
            <w:tcW w:w="817" w:type="dxa"/>
            <w:tcBorders>
              <w:top w:val="single" w:sz="8" w:space="0" w:color="auto"/>
              <w:left w:val="single" w:sz="8" w:space="0" w:color="auto"/>
              <w:bottom w:val="single" w:sz="8" w:space="0" w:color="auto"/>
              <w:right w:val="single" w:sz="8" w:space="0" w:color="auto"/>
            </w:tcBorders>
          </w:tcPr>
          <w:p w14:paraId="3C33A8D6" w14:textId="77777777" w:rsidR="005F2797" w:rsidRPr="00D03EEE" w:rsidRDefault="005F2797" w:rsidP="00B02B3D">
            <w:r w:rsidRPr="00D03EEE">
              <w:rPr>
                <w:rFonts w:eastAsia="Arial"/>
              </w:rPr>
              <w:t>2,166</w:t>
            </w:r>
          </w:p>
          <w:p w14:paraId="24E0F575" w14:textId="77777777" w:rsidR="005F2797" w:rsidRPr="00D03EEE" w:rsidRDefault="005F2797" w:rsidP="00B02B3D">
            <w:r w:rsidRPr="00D03EEE">
              <w:rPr>
                <w:rFonts w:eastAsia="Arial"/>
              </w:rPr>
              <w:t xml:space="preserve"> </w:t>
            </w:r>
          </w:p>
        </w:tc>
      </w:tr>
      <w:tr w:rsidR="005F2797" w:rsidRPr="00D03EEE" w14:paraId="24A60630" w14:textId="77777777" w:rsidTr="00B02B3D">
        <w:trPr>
          <w:trHeight w:val="825"/>
        </w:trPr>
        <w:tc>
          <w:tcPr>
            <w:tcW w:w="1833" w:type="dxa"/>
            <w:tcBorders>
              <w:top w:val="single" w:sz="8" w:space="0" w:color="auto"/>
              <w:left w:val="single" w:sz="8" w:space="0" w:color="auto"/>
              <w:bottom w:val="single" w:sz="8" w:space="0" w:color="auto"/>
              <w:right w:val="single" w:sz="8" w:space="0" w:color="auto"/>
            </w:tcBorders>
          </w:tcPr>
          <w:p w14:paraId="48542521" w14:textId="77777777" w:rsidR="005F2797" w:rsidRPr="00D03EEE" w:rsidRDefault="005F2797" w:rsidP="00B02B3D">
            <w:r w:rsidRPr="00D03EEE">
              <w:rPr>
                <w:rFonts w:eastAsia="Arial"/>
              </w:rPr>
              <w:t xml:space="preserve">of which annual income: Between £20,000 and </w:t>
            </w:r>
            <w:r w:rsidRPr="00D03EEE">
              <w:rPr>
                <w:rFonts w:eastAsia="Arial"/>
              </w:rPr>
              <w:lastRenderedPageBreak/>
              <w:t>less than £25,000</w:t>
            </w:r>
          </w:p>
        </w:tc>
        <w:tc>
          <w:tcPr>
            <w:tcW w:w="851" w:type="dxa"/>
            <w:tcBorders>
              <w:top w:val="single" w:sz="8" w:space="0" w:color="auto"/>
              <w:left w:val="single" w:sz="8" w:space="0" w:color="auto"/>
              <w:bottom w:val="single" w:sz="8" w:space="0" w:color="auto"/>
              <w:right w:val="single" w:sz="8" w:space="0" w:color="auto"/>
            </w:tcBorders>
          </w:tcPr>
          <w:p w14:paraId="5F213A94" w14:textId="77777777" w:rsidR="005F2797" w:rsidRPr="00D03EEE" w:rsidRDefault="005F2797" w:rsidP="00B02B3D">
            <w:r w:rsidRPr="00D03EEE">
              <w:rPr>
                <w:rFonts w:eastAsia="Arial"/>
              </w:rPr>
              <w:lastRenderedPageBreak/>
              <w:t>942</w:t>
            </w:r>
          </w:p>
          <w:p w14:paraId="18D12692" w14:textId="77777777" w:rsidR="005F2797" w:rsidRPr="00D03EEE" w:rsidRDefault="005F2797" w:rsidP="00B02B3D">
            <w:r w:rsidRPr="00D03EEE">
              <w:rPr>
                <w:rFonts w:eastAsia="Arial"/>
              </w:rPr>
              <w:t xml:space="preserve"> </w:t>
            </w:r>
          </w:p>
        </w:tc>
        <w:tc>
          <w:tcPr>
            <w:tcW w:w="1275" w:type="dxa"/>
            <w:tcBorders>
              <w:top w:val="single" w:sz="8" w:space="0" w:color="auto"/>
              <w:left w:val="single" w:sz="8" w:space="0" w:color="auto"/>
              <w:bottom w:val="single" w:sz="8" w:space="0" w:color="auto"/>
              <w:right w:val="single" w:sz="8" w:space="0" w:color="auto"/>
            </w:tcBorders>
          </w:tcPr>
          <w:p w14:paraId="2AC16A9C" w14:textId="77777777" w:rsidR="005F2797" w:rsidRPr="00D03EEE" w:rsidRDefault="005F2797" w:rsidP="00B02B3D">
            <w:r w:rsidRPr="00D03EEE">
              <w:rPr>
                <w:rFonts w:eastAsia="Arial"/>
              </w:rPr>
              <w:t>79</w:t>
            </w:r>
          </w:p>
          <w:p w14:paraId="5923A5A8" w14:textId="77777777" w:rsidR="005F2797" w:rsidRPr="00D03EEE" w:rsidRDefault="005F2797" w:rsidP="00B02B3D">
            <w:r w:rsidRPr="00D03EEE">
              <w:rPr>
                <w:rFonts w:eastAsia="Arial"/>
              </w:rPr>
              <w:t xml:space="preserve"> </w:t>
            </w:r>
          </w:p>
        </w:tc>
        <w:tc>
          <w:tcPr>
            <w:tcW w:w="1276" w:type="dxa"/>
            <w:tcBorders>
              <w:top w:val="single" w:sz="8" w:space="0" w:color="auto"/>
              <w:left w:val="single" w:sz="8" w:space="0" w:color="auto"/>
              <w:bottom w:val="single" w:sz="8" w:space="0" w:color="auto"/>
              <w:right w:val="single" w:sz="8" w:space="0" w:color="auto"/>
            </w:tcBorders>
          </w:tcPr>
          <w:p w14:paraId="479706B5" w14:textId="77777777" w:rsidR="005F2797" w:rsidRPr="00D03EEE" w:rsidRDefault="005F2797" w:rsidP="00B02B3D">
            <w:r w:rsidRPr="00D03EEE">
              <w:rPr>
                <w:rFonts w:eastAsia="Arial"/>
              </w:rPr>
              <w:t>159</w:t>
            </w:r>
          </w:p>
          <w:p w14:paraId="07E91E15" w14:textId="77777777" w:rsidR="005F2797" w:rsidRPr="00D03EEE" w:rsidRDefault="005F2797" w:rsidP="00B02B3D">
            <w:r w:rsidRPr="00D03EEE">
              <w:rPr>
                <w:rFonts w:eastAsia="Arial"/>
              </w:rPr>
              <w:t xml:space="preserve"> </w:t>
            </w:r>
          </w:p>
        </w:tc>
        <w:tc>
          <w:tcPr>
            <w:tcW w:w="1221" w:type="dxa"/>
            <w:tcBorders>
              <w:top w:val="single" w:sz="8" w:space="0" w:color="auto"/>
              <w:left w:val="single" w:sz="8" w:space="0" w:color="auto"/>
              <w:bottom w:val="single" w:sz="8" w:space="0" w:color="auto"/>
              <w:right w:val="single" w:sz="8" w:space="0" w:color="auto"/>
            </w:tcBorders>
          </w:tcPr>
          <w:p w14:paraId="1533B451" w14:textId="77777777" w:rsidR="005F2797" w:rsidRPr="00D03EEE" w:rsidRDefault="005F2797" w:rsidP="00B02B3D">
            <w:r w:rsidRPr="00D03EEE">
              <w:rPr>
                <w:rFonts w:eastAsia="Arial"/>
              </w:rPr>
              <w:t>38</w:t>
            </w:r>
          </w:p>
          <w:p w14:paraId="7B99531A" w14:textId="77777777" w:rsidR="005F2797" w:rsidRPr="00D03EEE" w:rsidRDefault="005F2797" w:rsidP="00B02B3D">
            <w:r w:rsidRPr="00D03EEE">
              <w:rPr>
                <w:rFonts w:eastAsia="Arial"/>
              </w:rPr>
              <w:t xml:space="preserve"> </w:t>
            </w:r>
          </w:p>
        </w:tc>
        <w:tc>
          <w:tcPr>
            <w:tcW w:w="764" w:type="dxa"/>
            <w:tcBorders>
              <w:top w:val="single" w:sz="8" w:space="0" w:color="auto"/>
              <w:left w:val="single" w:sz="8" w:space="0" w:color="auto"/>
              <w:bottom w:val="single" w:sz="8" w:space="0" w:color="auto"/>
              <w:right w:val="single" w:sz="8" w:space="0" w:color="auto"/>
            </w:tcBorders>
          </w:tcPr>
          <w:p w14:paraId="4415F7D1" w14:textId="77777777" w:rsidR="005F2797" w:rsidRPr="00D03EEE" w:rsidRDefault="005F2797" w:rsidP="00B02B3D">
            <w:r w:rsidRPr="00D03EEE">
              <w:rPr>
                <w:rFonts w:eastAsia="Arial"/>
              </w:rPr>
              <w:t>35</w:t>
            </w:r>
          </w:p>
          <w:p w14:paraId="19D0F202" w14:textId="77777777" w:rsidR="005F2797" w:rsidRPr="00D03EEE" w:rsidRDefault="005F2797" w:rsidP="00B02B3D">
            <w:r w:rsidRPr="00D03EEE">
              <w:rPr>
                <w:rFonts w:eastAsia="Arial"/>
              </w:rPr>
              <w:t xml:space="preserve"> </w:t>
            </w:r>
          </w:p>
        </w:tc>
        <w:tc>
          <w:tcPr>
            <w:tcW w:w="969" w:type="dxa"/>
            <w:tcBorders>
              <w:top w:val="single" w:sz="8" w:space="0" w:color="auto"/>
              <w:left w:val="single" w:sz="8" w:space="0" w:color="auto"/>
              <w:bottom w:val="single" w:sz="8" w:space="0" w:color="auto"/>
              <w:right w:val="single" w:sz="8" w:space="0" w:color="auto"/>
            </w:tcBorders>
          </w:tcPr>
          <w:p w14:paraId="7FE0EB79" w14:textId="77777777" w:rsidR="005F2797" w:rsidRPr="00D03EEE" w:rsidRDefault="005F2797" w:rsidP="00B02B3D">
            <w:r w:rsidRPr="00D03EEE">
              <w:rPr>
                <w:rFonts w:eastAsia="Arial"/>
              </w:rPr>
              <w:t>311</w:t>
            </w:r>
          </w:p>
          <w:p w14:paraId="72B67C5C" w14:textId="77777777" w:rsidR="005F2797" w:rsidRPr="00D03EEE" w:rsidRDefault="005F2797" w:rsidP="00B02B3D">
            <w:r w:rsidRPr="00D03EEE">
              <w:rPr>
                <w:rFonts w:eastAsia="Arial"/>
              </w:rPr>
              <w:t xml:space="preserve"> </w:t>
            </w:r>
          </w:p>
        </w:tc>
        <w:tc>
          <w:tcPr>
            <w:tcW w:w="817" w:type="dxa"/>
            <w:tcBorders>
              <w:top w:val="single" w:sz="8" w:space="0" w:color="auto"/>
              <w:left w:val="single" w:sz="8" w:space="0" w:color="auto"/>
              <w:bottom w:val="single" w:sz="8" w:space="0" w:color="auto"/>
              <w:right w:val="single" w:sz="8" w:space="0" w:color="auto"/>
            </w:tcBorders>
          </w:tcPr>
          <w:p w14:paraId="5DCDDBEB" w14:textId="77777777" w:rsidR="005F2797" w:rsidRPr="00D03EEE" w:rsidRDefault="005F2797" w:rsidP="00B02B3D">
            <w:r w:rsidRPr="00D03EEE">
              <w:rPr>
                <w:rFonts w:eastAsia="Arial"/>
              </w:rPr>
              <w:t>1,253</w:t>
            </w:r>
          </w:p>
          <w:p w14:paraId="3D7AA202" w14:textId="77777777" w:rsidR="005F2797" w:rsidRPr="00D03EEE" w:rsidRDefault="005F2797" w:rsidP="00B02B3D">
            <w:r w:rsidRPr="00D03EEE">
              <w:rPr>
                <w:rFonts w:eastAsia="Arial"/>
              </w:rPr>
              <w:t xml:space="preserve"> </w:t>
            </w:r>
          </w:p>
        </w:tc>
      </w:tr>
      <w:tr w:rsidR="005F2797" w:rsidRPr="00D03EEE" w14:paraId="06B03512" w14:textId="77777777" w:rsidTr="00B02B3D">
        <w:trPr>
          <w:trHeight w:val="825"/>
        </w:trPr>
        <w:tc>
          <w:tcPr>
            <w:tcW w:w="1833" w:type="dxa"/>
            <w:tcBorders>
              <w:top w:val="single" w:sz="8" w:space="0" w:color="auto"/>
              <w:left w:val="single" w:sz="8" w:space="0" w:color="auto"/>
              <w:bottom w:val="single" w:sz="8" w:space="0" w:color="auto"/>
              <w:right w:val="single" w:sz="8" w:space="0" w:color="auto"/>
            </w:tcBorders>
          </w:tcPr>
          <w:p w14:paraId="104822A7" w14:textId="77777777" w:rsidR="005F2797" w:rsidRPr="00D03EEE" w:rsidRDefault="005F2797" w:rsidP="00B02B3D">
            <w:r w:rsidRPr="00D03EEE">
              <w:rPr>
                <w:rFonts w:eastAsia="Arial"/>
              </w:rPr>
              <w:t>of which annual income: Between £25,000 and less than £30,000</w:t>
            </w:r>
          </w:p>
        </w:tc>
        <w:tc>
          <w:tcPr>
            <w:tcW w:w="851" w:type="dxa"/>
            <w:tcBorders>
              <w:top w:val="single" w:sz="8" w:space="0" w:color="auto"/>
              <w:left w:val="single" w:sz="8" w:space="0" w:color="auto"/>
              <w:bottom w:val="single" w:sz="8" w:space="0" w:color="auto"/>
              <w:right w:val="single" w:sz="8" w:space="0" w:color="auto"/>
            </w:tcBorders>
          </w:tcPr>
          <w:p w14:paraId="3A661186" w14:textId="77777777" w:rsidR="005F2797" w:rsidRPr="00D03EEE" w:rsidRDefault="005F2797" w:rsidP="00B02B3D">
            <w:r w:rsidRPr="00D03EEE">
              <w:rPr>
                <w:rFonts w:eastAsia="Arial"/>
              </w:rPr>
              <w:t>466</w:t>
            </w:r>
          </w:p>
          <w:p w14:paraId="78BB05A3" w14:textId="77777777" w:rsidR="005F2797" w:rsidRPr="00D03EEE" w:rsidRDefault="005F2797" w:rsidP="00B02B3D">
            <w:r w:rsidRPr="00D03EEE">
              <w:rPr>
                <w:rFonts w:eastAsia="Arial"/>
              </w:rPr>
              <w:t xml:space="preserve"> </w:t>
            </w:r>
          </w:p>
          <w:p w14:paraId="39D434C1" w14:textId="77777777" w:rsidR="005F2797" w:rsidRPr="00D03EEE" w:rsidRDefault="005F2797" w:rsidP="00B02B3D">
            <w:r w:rsidRPr="00D03EEE">
              <w:rPr>
                <w:rFonts w:eastAsia="Arial"/>
              </w:rPr>
              <w:t xml:space="preserve"> </w:t>
            </w:r>
          </w:p>
        </w:tc>
        <w:tc>
          <w:tcPr>
            <w:tcW w:w="1275" w:type="dxa"/>
            <w:tcBorders>
              <w:top w:val="single" w:sz="8" w:space="0" w:color="auto"/>
              <w:left w:val="single" w:sz="8" w:space="0" w:color="auto"/>
              <w:bottom w:val="single" w:sz="8" w:space="0" w:color="auto"/>
              <w:right w:val="single" w:sz="8" w:space="0" w:color="auto"/>
            </w:tcBorders>
          </w:tcPr>
          <w:p w14:paraId="1CF89161" w14:textId="77777777" w:rsidR="005F2797" w:rsidRPr="00D03EEE" w:rsidRDefault="005F2797" w:rsidP="00B02B3D">
            <w:r w:rsidRPr="00D03EEE">
              <w:rPr>
                <w:rFonts w:eastAsia="Arial"/>
              </w:rPr>
              <w:t>40</w:t>
            </w:r>
          </w:p>
          <w:p w14:paraId="06EDF1BC" w14:textId="77777777" w:rsidR="005F2797" w:rsidRPr="00D03EEE" w:rsidRDefault="005F2797" w:rsidP="00B02B3D">
            <w:r w:rsidRPr="00D03EEE">
              <w:rPr>
                <w:rFonts w:eastAsia="Arial"/>
              </w:rPr>
              <w:t xml:space="preserve"> </w:t>
            </w:r>
          </w:p>
        </w:tc>
        <w:tc>
          <w:tcPr>
            <w:tcW w:w="1276" w:type="dxa"/>
            <w:tcBorders>
              <w:top w:val="single" w:sz="8" w:space="0" w:color="auto"/>
              <w:left w:val="single" w:sz="8" w:space="0" w:color="auto"/>
              <w:bottom w:val="single" w:sz="8" w:space="0" w:color="auto"/>
              <w:right w:val="single" w:sz="8" w:space="0" w:color="auto"/>
            </w:tcBorders>
          </w:tcPr>
          <w:p w14:paraId="715F7550" w14:textId="77777777" w:rsidR="005F2797" w:rsidRPr="00D03EEE" w:rsidRDefault="005F2797" w:rsidP="00B02B3D">
            <w:r w:rsidRPr="00D03EEE">
              <w:rPr>
                <w:rFonts w:eastAsia="Arial"/>
              </w:rPr>
              <w:t>92</w:t>
            </w:r>
          </w:p>
          <w:p w14:paraId="76246ADB" w14:textId="77777777" w:rsidR="005F2797" w:rsidRPr="00D03EEE" w:rsidRDefault="005F2797" w:rsidP="00B02B3D">
            <w:r w:rsidRPr="00D03EEE">
              <w:rPr>
                <w:rFonts w:eastAsia="Arial"/>
              </w:rPr>
              <w:t xml:space="preserve"> </w:t>
            </w:r>
          </w:p>
        </w:tc>
        <w:tc>
          <w:tcPr>
            <w:tcW w:w="1221" w:type="dxa"/>
            <w:tcBorders>
              <w:top w:val="single" w:sz="8" w:space="0" w:color="auto"/>
              <w:left w:val="single" w:sz="8" w:space="0" w:color="auto"/>
              <w:bottom w:val="single" w:sz="8" w:space="0" w:color="auto"/>
              <w:right w:val="single" w:sz="8" w:space="0" w:color="auto"/>
            </w:tcBorders>
          </w:tcPr>
          <w:p w14:paraId="6E2449DE" w14:textId="77777777" w:rsidR="005F2797" w:rsidRPr="00D03EEE" w:rsidRDefault="005F2797" w:rsidP="00B02B3D">
            <w:r w:rsidRPr="00D03EEE">
              <w:rPr>
                <w:rFonts w:eastAsia="Arial"/>
              </w:rPr>
              <w:t>32</w:t>
            </w:r>
          </w:p>
          <w:p w14:paraId="0132C2A9" w14:textId="77777777" w:rsidR="005F2797" w:rsidRPr="00D03EEE" w:rsidRDefault="005F2797" w:rsidP="00B02B3D">
            <w:r w:rsidRPr="00D03EEE">
              <w:rPr>
                <w:rFonts w:eastAsia="Arial"/>
              </w:rPr>
              <w:t xml:space="preserve"> </w:t>
            </w:r>
          </w:p>
        </w:tc>
        <w:tc>
          <w:tcPr>
            <w:tcW w:w="764" w:type="dxa"/>
            <w:tcBorders>
              <w:top w:val="single" w:sz="8" w:space="0" w:color="auto"/>
              <w:left w:val="single" w:sz="8" w:space="0" w:color="auto"/>
              <w:bottom w:val="single" w:sz="8" w:space="0" w:color="auto"/>
              <w:right w:val="single" w:sz="8" w:space="0" w:color="auto"/>
            </w:tcBorders>
          </w:tcPr>
          <w:p w14:paraId="13628E5C" w14:textId="77777777" w:rsidR="005F2797" w:rsidRPr="00D03EEE" w:rsidRDefault="005F2797" w:rsidP="00B02B3D">
            <w:r w:rsidRPr="00D03EEE">
              <w:rPr>
                <w:rFonts w:eastAsia="Arial"/>
              </w:rPr>
              <w:t>25</w:t>
            </w:r>
          </w:p>
          <w:p w14:paraId="46FC2568" w14:textId="77777777" w:rsidR="005F2797" w:rsidRPr="00D03EEE" w:rsidRDefault="005F2797" w:rsidP="00B02B3D">
            <w:r w:rsidRPr="00D03EEE">
              <w:rPr>
                <w:rFonts w:eastAsia="Arial"/>
              </w:rPr>
              <w:t xml:space="preserve"> </w:t>
            </w:r>
          </w:p>
        </w:tc>
        <w:tc>
          <w:tcPr>
            <w:tcW w:w="969" w:type="dxa"/>
            <w:tcBorders>
              <w:top w:val="single" w:sz="8" w:space="0" w:color="auto"/>
              <w:left w:val="single" w:sz="8" w:space="0" w:color="auto"/>
              <w:bottom w:val="single" w:sz="8" w:space="0" w:color="auto"/>
              <w:right w:val="single" w:sz="8" w:space="0" w:color="auto"/>
            </w:tcBorders>
          </w:tcPr>
          <w:p w14:paraId="5233DEC9" w14:textId="77777777" w:rsidR="005F2797" w:rsidRPr="00D03EEE" w:rsidRDefault="005F2797" w:rsidP="00B02B3D">
            <w:r w:rsidRPr="00D03EEE">
              <w:rPr>
                <w:rFonts w:eastAsia="Arial"/>
              </w:rPr>
              <w:t>189</w:t>
            </w:r>
          </w:p>
          <w:p w14:paraId="2AF698A4" w14:textId="77777777" w:rsidR="005F2797" w:rsidRPr="00D03EEE" w:rsidRDefault="005F2797" w:rsidP="00B02B3D">
            <w:r w:rsidRPr="00D03EEE">
              <w:rPr>
                <w:rFonts w:eastAsia="Arial"/>
              </w:rPr>
              <w:t xml:space="preserve"> </w:t>
            </w:r>
          </w:p>
        </w:tc>
        <w:tc>
          <w:tcPr>
            <w:tcW w:w="817" w:type="dxa"/>
            <w:tcBorders>
              <w:top w:val="single" w:sz="8" w:space="0" w:color="auto"/>
              <w:left w:val="single" w:sz="8" w:space="0" w:color="auto"/>
              <w:bottom w:val="single" w:sz="8" w:space="0" w:color="auto"/>
              <w:right w:val="single" w:sz="8" w:space="0" w:color="auto"/>
            </w:tcBorders>
          </w:tcPr>
          <w:p w14:paraId="514A9A54" w14:textId="77777777" w:rsidR="005F2797" w:rsidRPr="00D03EEE" w:rsidRDefault="005F2797" w:rsidP="00B02B3D">
            <w:r w:rsidRPr="00D03EEE">
              <w:rPr>
                <w:rFonts w:eastAsia="Arial"/>
              </w:rPr>
              <w:t>655</w:t>
            </w:r>
          </w:p>
          <w:p w14:paraId="360F5EAF" w14:textId="77777777" w:rsidR="005F2797" w:rsidRPr="00D03EEE" w:rsidRDefault="005F2797" w:rsidP="00B02B3D">
            <w:r w:rsidRPr="00D03EEE">
              <w:rPr>
                <w:rFonts w:eastAsia="Arial"/>
              </w:rPr>
              <w:t xml:space="preserve"> </w:t>
            </w:r>
          </w:p>
        </w:tc>
      </w:tr>
      <w:tr w:rsidR="005F2797" w:rsidRPr="00D03EEE" w14:paraId="7A1B53B9" w14:textId="77777777" w:rsidTr="00B02B3D">
        <w:trPr>
          <w:trHeight w:val="825"/>
        </w:trPr>
        <w:tc>
          <w:tcPr>
            <w:tcW w:w="1833" w:type="dxa"/>
            <w:tcBorders>
              <w:top w:val="single" w:sz="8" w:space="0" w:color="auto"/>
              <w:left w:val="single" w:sz="8" w:space="0" w:color="auto"/>
              <w:bottom w:val="single" w:sz="8" w:space="0" w:color="auto"/>
              <w:right w:val="single" w:sz="8" w:space="0" w:color="auto"/>
            </w:tcBorders>
          </w:tcPr>
          <w:p w14:paraId="30F0B0AF" w14:textId="77777777" w:rsidR="005F2797" w:rsidRPr="00D03EEE" w:rsidRDefault="005F2797" w:rsidP="00B02B3D">
            <w:r w:rsidRPr="00D03EEE">
              <w:rPr>
                <w:rFonts w:eastAsia="Arial"/>
              </w:rPr>
              <w:t>of which annual income: Between £30,000 and less than £35,000</w:t>
            </w:r>
          </w:p>
        </w:tc>
        <w:tc>
          <w:tcPr>
            <w:tcW w:w="851" w:type="dxa"/>
            <w:tcBorders>
              <w:top w:val="single" w:sz="8" w:space="0" w:color="auto"/>
              <w:left w:val="single" w:sz="8" w:space="0" w:color="auto"/>
              <w:bottom w:val="single" w:sz="8" w:space="0" w:color="auto"/>
              <w:right w:val="single" w:sz="8" w:space="0" w:color="auto"/>
            </w:tcBorders>
          </w:tcPr>
          <w:p w14:paraId="1CB6E572" w14:textId="77777777" w:rsidR="005F2797" w:rsidRPr="00D03EEE" w:rsidRDefault="005F2797" w:rsidP="00B02B3D">
            <w:r w:rsidRPr="00D03EEE">
              <w:rPr>
                <w:rFonts w:eastAsia="Arial"/>
              </w:rPr>
              <w:t>226</w:t>
            </w:r>
          </w:p>
          <w:p w14:paraId="2F8CFEE9" w14:textId="77777777" w:rsidR="005F2797" w:rsidRPr="00D03EEE" w:rsidRDefault="005F2797" w:rsidP="00B02B3D">
            <w:r w:rsidRPr="00D03EEE">
              <w:rPr>
                <w:rFonts w:eastAsia="Arial"/>
              </w:rPr>
              <w:t xml:space="preserve"> </w:t>
            </w:r>
          </w:p>
        </w:tc>
        <w:tc>
          <w:tcPr>
            <w:tcW w:w="1275" w:type="dxa"/>
            <w:tcBorders>
              <w:top w:val="single" w:sz="8" w:space="0" w:color="auto"/>
              <w:left w:val="single" w:sz="8" w:space="0" w:color="auto"/>
              <w:bottom w:val="single" w:sz="8" w:space="0" w:color="auto"/>
              <w:right w:val="single" w:sz="8" w:space="0" w:color="auto"/>
            </w:tcBorders>
          </w:tcPr>
          <w:p w14:paraId="4F1C08D6" w14:textId="77777777" w:rsidR="005F2797" w:rsidRPr="00D03EEE" w:rsidRDefault="005F2797" w:rsidP="00B02B3D">
            <w:r w:rsidRPr="00D03EEE">
              <w:rPr>
                <w:rFonts w:eastAsia="Arial"/>
              </w:rPr>
              <w:t>32</w:t>
            </w:r>
          </w:p>
          <w:p w14:paraId="018BCB91" w14:textId="77777777" w:rsidR="005F2797" w:rsidRPr="00D03EEE" w:rsidRDefault="005F2797" w:rsidP="00B02B3D">
            <w:r w:rsidRPr="00D03EEE">
              <w:rPr>
                <w:rFonts w:eastAsia="Arial"/>
              </w:rPr>
              <w:t xml:space="preserve"> </w:t>
            </w:r>
          </w:p>
        </w:tc>
        <w:tc>
          <w:tcPr>
            <w:tcW w:w="1276" w:type="dxa"/>
            <w:tcBorders>
              <w:top w:val="single" w:sz="8" w:space="0" w:color="auto"/>
              <w:left w:val="single" w:sz="8" w:space="0" w:color="auto"/>
              <w:bottom w:val="single" w:sz="8" w:space="0" w:color="auto"/>
              <w:right w:val="single" w:sz="8" w:space="0" w:color="auto"/>
            </w:tcBorders>
          </w:tcPr>
          <w:p w14:paraId="6B0D3AA3" w14:textId="77777777" w:rsidR="005F2797" w:rsidRPr="00D03EEE" w:rsidRDefault="005F2797" w:rsidP="00B02B3D">
            <w:r w:rsidRPr="00D03EEE">
              <w:rPr>
                <w:rFonts w:eastAsia="Arial"/>
              </w:rPr>
              <w:t>56</w:t>
            </w:r>
          </w:p>
          <w:p w14:paraId="758F6B8F" w14:textId="77777777" w:rsidR="005F2797" w:rsidRPr="00D03EEE" w:rsidRDefault="005F2797" w:rsidP="00B02B3D">
            <w:r w:rsidRPr="00D03EEE">
              <w:rPr>
                <w:rFonts w:eastAsia="Arial"/>
              </w:rPr>
              <w:t xml:space="preserve"> </w:t>
            </w:r>
          </w:p>
        </w:tc>
        <w:tc>
          <w:tcPr>
            <w:tcW w:w="1221" w:type="dxa"/>
            <w:tcBorders>
              <w:top w:val="single" w:sz="8" w:space="0" w:color="auto"/>
              <w:left w:val="single" w:sz="8" w:space="0" w:color="auto"/>
              <w:bottom w:val="single" w:sz="8" w:space="0" w:color="auto"/>
              <w:right w:val="single" w:sz="8" w:space="0" w:color="auto"/>
            </w:tcBorders>
          </w:tcPr>
          <w:p w14:paraId="1A1E4B5B" w14:textId="77777777" w:rsidR="005F2797" w:rsidRPr="00D03EEE" w:rsidRDefault="005F2797" w:rsidP="00B02B3D">
            <w:r w:rsidRPr="00D03EEE">
              <w:rPr>
                <w:rFonts w:eastAsia="Arial"/>
              </w:rPr>
              <w:t>17</w:t>
            </w:r>
          </w:p>
          <w:p w14:paraId="173DA605" w14:textId="77777777" w:rsidR="005F2797" w:rsidRPr="00D03EEE" w:rsidRDefault="005F2797" w:rsidP="00B02B3D">
            <w:r w:rsidRPr="00D03EEE">
              <w:rPr>
                <w:rFonts w:eastAsia="Arial"/>
              </w:rPr>
              <w:t xml:space="preserve"> </w:t>
            </w:r>
          </w:p>
        </w:tc>
        <w:tc>
          <w:tcPr>
            <w:tcW w:w="764" w:type="dxa"/>
            <w:tcBorders>
              <w:top w:val="single" w:sz="8" w:space="0" w:color="auto"/>
              <w:left w:val="single" w:sz="8" w:space="0" w:color="auto"/>
              <w:bottom w:val="single" w:sz="8" w:space="0" w:color="auto"/>
              <w:right w:val="single" w:sz="8" w:space="0" w:color="auto"/>
            </w:tcBorders>
          </w:tcPr>
          <w:p w14:paraId="3316DDFE" w14:textId="77777777" w:rsidR="005F2797" w:rsidRPr="00D03EEE" w:rsidRDefault="005F2797" w:rsidP="00B02B3D">
            <w:r w:rsidRPr="00D03EEE">
              <w:rPr>
                <w:rFonts w:eastAsia="Arial"/>
              </w:rPr>
              <w:t>19</w:t>
            </w:r>
          </w:p>
          <w:p w14:paraId="0F4F1A64" w14:textId="77777777" w:rsidR="005F2797" w:rsidRPr="00D03EEE" w:rsidRDefault="005F2797" w:rsidP="00B02B3D">
            <w:r w:rsidRPr="00D03EEE">
              <w:rPr>
                <w:rFonts w:eastAsia="Arial"/>
              </w:rPr>
              <w:t xml:space="preserve"> </w:t>
            </w:r>
          </w:p>
        </w:tc>
        <w:tc>
          <w:tcPr>
            <w:tcW w:w="969" w:type="dxa"/>
            <w:tcBorders>
              <w:top w:val="single" w:sz="8" w:space="0" w:color="auto"/>
              <w:left w:val="single" w:sz="8" w:space="0" w:color="auto"/>
              <w:bottom w:val="single" w:sz="8" w:space="0" w:color="auto"/>
              <w:right w:val="single" w:sz="8" w:space="0" w:color="auto"/>
            </w:tcBorders>
          </w:tcPr>
          <w:p w14:paraId="68B41BE2" w14:textId="77777777" w:rsidR="005F2797" w:rsidRPr="00D03EEE" w:rsidRDefault="005F2797" w:rsidP="00B02B3D">
            <w:r w:rsidRPr="00D03EEE">
              <w:rPr>
                <w:rFonts w:eastAsia="Arial"/>
              </w:rPr>
              <w:t>124</w:t>
            </w:r>
          </w:p>
          <w:p w14:paraId="609E97B9" w14:textId="77777777" w:rsidR="005F2797" w:rsidRPr="00D03EEE" w:rsidRDefault="005F2797" w:rsidP="00B02B3D">
            <w:r w:rsidRPr="00D03EEE">
              <w:rPr>
                <w:rFonts w:eastAsia="Arial"/>
              </w:rPr>
              <w:t xml:space="preserve"> </w:t>
            </w:r>
          </w:p>
        </w:tc>
        <w:tc>
          <w:tcPr>
            <w:tcW w:w="817" w:type="dxa"/>
            <w:tcBorders>
              <w:top w:val="single" w:sz="8" w:space="0" w:color="auto"/>
              <w:left w:val="single" w:sz="8" w:space="0" w:color="auto"/>
              <w:bottom w:val="single" w:sz="8" w:space="0" w:color="auto"/>
              <w:right w:val="single" w:sz="8" w:space="0" w:color="auto"/>
            </w:tcBorders>
          </w:tcPr>
          <w:p w14:paraId="3F2F8041" w14:textId="77777777" w:rsidR="005F2797" w:rsidRPr="00D03EEE" w:rsidRDefault="005F2797" w:rsidP="00B02B3D">
            <w:r w:rsidRPr="00D03EEE">
              <w:rPr>
                <w:rFonts w:eastAsia="Arial"/>
              </w:rPr>
              <w:t>350</w:t>
            </w:r>
          </w:p>
          <w:p w14:paraId="1C58149C" w14:textId="77777777" w:rsidR="005F2797" w:rsidRPr="00D03EEE" w:rsidRDefault="005F2797" w:rsidP="00B02B3D">
            <w:r w:rsidRPr="00D03EEE">
              <w:rPr>
                <w:rFonts w:eastAsia="Arial"/>
              </w:rPr>
              <w:t xml:space="preserve"> </w:t>
            </w:r>
          </w:p>
        </w:tc>
      </w:tr>
      <w:tr w:rsidR="005F2797" w:rsidRPr="00D03EEE" w14:paraId="0273A45B" w14:textId="77777777" w:rsidTr="00B02B3D">
        <w:trPr>
          <w:trHeight w:val="540"/>
        </w:trPr>
        <w:tc>
          <w:tcPr>
            <w:tcW w:w="1833" w:type="dxa"/>
            <w:tcBorders>
              <w:top w:val="single" w:sz="8" w:space="0" w:color="auto"/>
              <w:left w:val="single" w:sz="8" w:space="0" w:color="auto"/>
              <w:bottom w:val="single" w:sz="8" w:space="0" w:color="auto"/>
              <w:right w:val="single" w:sz="8" w:space="0" w:color="auto"/>
            </w:tcBorders>
          </w:tcPr>
          <w:p w14:paraId="0567E31C" w14:textId="77777777" w:rsidR="005F2797" w:rsidRPr="00D03EEE" w:rsidRDefault="005F2797" w:rsidP="00B02B3D">
            <w:r w:rsidRPr="00D03EEE">
              <w:rPr>
                <w:rFonts w:eastAsia="Arial"/>
              </w:rPr>
              <w:t>of which annual income: £35,000 or more</w:t>
            </w:r>
          </w:p>
        </w:tc>
        <w:tc>
          <w:tcPr>
            <w:tcW w:w="851" w:type="dxa"/>
            <w:tcBorders>
              <w:top w:val="single" w:sz="8" w:space="0" w:color="auto"/>
              <w:left w:val="single" w:sz="8" w:space="0" w:color="auto"/>
              <w:bottom w:val="single" w:sz="8" w:space="0" w:color="auto"/>
              <w:right w:val="single" w:sz="8" w:space="0" w:color="auto"/>
            </w:tcBorders>
          </w:tcPr>
          <w:p w14:paraId="7D80693B" w14:textId="77777777" w:rsidR="005F2797" w:rsidRPr="00D03EEE" w:rsidRDefault="005F2797" w:rsidP="00B02B3D">
            <w:r w:rsidRPr="00D03EEE">
              <w:rPr>
                <w:rFonts w:eastAsia="Arial"/>
              </w:rPr>
              <w:t>127</w:t>
            </w:r>
          </w:p>
          <w:p w14:paraId="42520840" w14:textId="77777777" w:rsidR="005F2797" w:rsidRPr="00D03EEE" w:rsidRDefault="005F2797" w:rsidP="00B02B3D">
            <w:r w:rsidRPr="00D03EEE">
              <w:rPr>
                <w:rFonts w:eastAsia="Arial"/>
              </w:rPr>
              <w:t xml:space="preserve"> </w:t>
            </w:r>
          </w:p>
        </w:tc>
        <w:tc>
          <w:tcPr>
            <w:tcW w:w="1275" w:type="dxa"/>
            <w:tcBorders>
              <w:top w:val="single" w:sz="8" w:space="0" w:color="auto"/>
              <w:left w:val="single" w:sz="8" w:space="0" w:color="auto"/>
              <w:bottom w:val="single" w:sz="8" w:space="0" w:color="auto"/>
              <w:right w:val="single" w:sz="8" w:space="0" w:color="auto"/>
            </w:tcBorders>
          </w:tcPr>
          <w:p w14:paraId="601356FD" w14:textId="77777777" w:rsidR="005F2797" w:rsidRPr="00D03EEE" w:rsidRDefault="005F2797" w:rsidP="00B02B3D">
            <w:r w:rsidRPr="00D03EEE">
              <w:rPr>
                <w:rFonts w:eastAsia="Arial"/>
              </w:rPr>
              <w:t>30</w:t>
            </w:r>
          </w:p>
          <w:p w14:paraId="60FD1CA6" w14:textId="77777777" w:rsidR="005F2797" w:rsidRPr="00D03EEE" w:rsidRDefault="005F2797" w:rsidP="00B02B3D">
            <w:r w:rsidRPr="00D03EEE">
              <w:rPr>
                <w:rFonts w:eastAsia="Arial"/>
              </w:rPr>
              <w:t xml:space="preserve"> </w:t>
            </w:r>
          </w:p>
        </w:tc>
        <w:tc>
          <w:tcPr>
            <w:tcW w:w="1276" w:type="dxa"/>
            <w:tcBorders>
              <w:top w:val="single" w:sz="8" w:space="0" w:color="auto"/>
              <w:left w:val="single" w:sz="8" w:space="0" w:color="auto"/>
              <w:bottom w:val="single" w:sz="8" w:space="0" w:color="auto"/>
              <w:right w:val="single" w:sz="8" w:space="0" w:color="auto"/>
            </w:tcBorders>
          </w:tcPr>
          <w:p w14:paraId="6940E5FE" w14:textId="77777777" w:rsidR="005F2797" w:rsidRPr="00D03EEE" w:rsidRDefault="005F2797" w:rsidP="00B02B3D">
            <w:r w:rsidRPr="00D03EEE">
              <w:rPr>
                <w:rFonts w:eastAsia="Arial"/>
              </w:rPr>
              <w:t>74</w:t>
            </w:r>
          </w:p>
          <w:p w14:paraId="79C42B5E" w14:textId="77777777" w:rsidR="005F2797" w:rsidRPr="00D03EEE" w:rsidRDefault="005F2797" w:rsidP="00B02B3D">
            <w:r w:rsidRPr="00D03EEE">
              <w:rPr>
                <w:rFonts w:eastAsia="Arial"/>
              </w:rPr>
              <w:t xml:space="preserve"> </w:t>
            </w:r>
          </w:p>
        </w:tc>
        <w:tc>
          <w:tcPr>
            <w:tcW w:w="1221" w:type="dxa"/>
            <w:tcBorders>
              <w:top w:val="single" w:sz="8" w:space="0" w:color="auto"/>
              <w:left w:val="single" w:sz="8" w:space="0" w:color="auto"/>
              <w:bottom w:val="single" w:sz="8" w:space="0" w:color="auto"/>
              <w:right w:val="single" w:sz="8" w:space="0" w:color="auto"/>
            </w:tcBorders>
          </w:tcPr>
          <w:p w14:paraId="75C0BD24" w14:textId="77777777" w:rsidR="005F2797" w:rsidRPr="00D03EEE" w:rsidRDefault="005F2797" w:rsidP="00B02B3D">
            <w:r w:rsidRPr="00D03EEE">
              <w:rPr>
                <w:rFonts w:eastAsia="Arial"/>
              </w:rPr>
              <w:t>36</w:t>
            </w:r>
          </w:p>
          <w:p w14:paraId="7E2501FD" w14:textId="77777777" w:rsidR="005F2797" w:rsidRPr="00D03EEE" w:rsidRDefault="005F2797" w:rsidP="00B02B3D">
            <w:r w:rsidRPr="00D03EEE">
              <w:rPr>
                <w:rFonts w:eastAsia="Arial"/>
              </w:rPr>
              <w:t xml:space="preserve"> </w:t>
            </w:r>
          </w:p>
        </w:tc>
        <w:tc>
          <w:tcPr>
            <w:tcW w:w="764" w:type="dxa"/>
            <w:tcBorders>
              <w:top w:val="single" w:sz="8" w:space="0" w:color="auto"/>
              <w:left w:val="single" w:sz="8" w:space="0" w:color="auto"/>
              <w:bottom w:val="single" w:sz="8" w:space="0" w:color="auto"/>
              <w:right w:val="single" w:sz="8" w:space="0" w:color="auto"/>
            </w:tcBorders>
          </w:tcPr>
          <w:p w14:paraId="6CCA471C" w14:textId="77777777" w:rsidR="005F2797" w:rsidRPr="00D03EEE" w:rsidRDefault="005F2797" w:rsidP="00B02B3D">
            <w:r w:rsidRPr="00D03EEE">
              <w:rPr>
                <w:rFonts w:eastAsia="Arial"/>
              </w:rPr>
              <w:t>72</w:t>
            </w:r>
          </w:p>
          <w:p w14:paraId="2716F549" w14:textId="77777777" w:rsidR="005F2797" w:rsidRPr="00D03EEE" w:rsidRDefault="005F2797" w:rsidP="00B02B3D">
            <w:r w:rsidRPr="00D03EEE">
              <w:rPr>
                <w:rFonts w:eastAsia="Arial"/>
              </w:rPr>
              <w:t xml:space="preserve"> </w:t>
            </w:r>
          </w:p>
        </w:tc>
        <w:tc>
          <w:tcPr>
            <w:tcW w:w="969" w:type="dxa"/>
            <w:tcBorders>
              <w:top w:val="single" w:sz="8" w:space="0" w:color="auto"/>
              <w:left w:val="single" w:sz="8" w:space="0" w:color="auto"/>
              <w:bottom w:val="single" w:sz="8" w:space="0" w:color="auto"/>
              <w:right w:val="single" w:sz="8" w:space="0" w:color="auto"/>
            </w:tcBorders>
          </w:tcPr>
          <w:p w14:paraId="36CCAB97" w14:textId="77777777" w:rsidR="005F2797" w:rsidRPr="00D03EEE" w:rsidRDefault="005F2797" w:rsidP="00B02B3D">
            <w:r w:rsidRPr="00D03EEE">
              <w:rPr>
                <w:rFonts w:eastAsia="Arial"/>
              </w:rPr>
              <w:t>212</w:t>
            </w:r>
          </w:p>
          <w:p w14:paraId="64DF90ED" w14:textId="77777777" w:rsidR="005F2797" w:rsidRPr="00D03EEE" w:rsidRDefault="005F2797" w:rsidP="00B02B3D">
            <w:r w:rsidRPr="00D03EEE">
              <w:rPr>
                <w:rFonts w:eastAsia="Arial"/>
              </w:rPr>
              <w:t xml:space="preserve"> </w:t>
            </w:r>
          </w:p>
        </w:tc>
        <w:tc>
          <w:tcPr>
            <w:tcW w:w="817" w:type="dxa"/>
            <w:tcBorders>
              <w:top w:val="single" w:sz="8" w:space="0" w:color="auto"/>
              <w:left w:val="single" w:sz="8" w:space="0" w:color="auto"/>
              <w:bottom w:val="single" w:sz="8" w:space="0" w:color="auto"/>
              <w:right w:val="single" w:sz="8" w:space="0" w:color="auto"/>
            </w:tcBorders>
          </w:tcPr>
          <w:p w14:paraId="6FC7C277" w14:textId="77777777" w:rsidR="005F2797" w:rsidRPr="00D03EEE" w:rsidRDefault="005F2797" w:rsidP="00B02B3D">
            <w:r w:rsidRPr="00D03EEE">
              <w:rPr>
                <w:rFonts w:eastAsia="Arial"/>
              </w:rPr>
              <w:t>339</w:t>
            </w:r>
          </w:p>
          <w:p w14:paraId="5D7C3E6C" w14:textId="77777777" w:rsidR="005F2797" w:rsidRPr="00D03EEE" w:rsidRDefault="005F2797" w:rsidP="00B02B3D">
            <w:r w:rsidRPr="00D03EEE">
              <w:rPr>
                <w:rFonts w:eastAsia="Arial"/>
              </w:rPr>
              <w:t xml:space="preserve"> </w:t>
            </w:r>
          </w:p>
        </w:tc>
      </w:tr>
    </w:tbl>
    <w:p w14:paraId="48111E28" w14:textId="194E933E" w:rsidR="00B02B3D" w:rsidRDefault="00624379" w:rsidP="00B02B3D">
      <w:pPr>
        <w:rPr>
          <w:rFonts w:eastAsia="Arial"/>
        </w:rPr>
      </w:pPr>
      <w:bookmarkStart w:id="19" w:name="_Toc100244829"/>
      <w:bookmarkStart w:id="20" w:name="_Toc100245008"/>
      <w:r>
        <w:t xml:space="preserve">Full notes for the above table </w:t>
      </w:r>
      <w:r w:rsidR="00F12178">
        <w:t xml:space="preserve">can be found on the AiB website at the following link: </w:t>
      </w:r>
      <w:hyperlink r:id="rId11" w:history="1">
        <w:r w:rsidR="00F12178" w:rsidRPr="00F12178">
          <w:rPr>
            <w:rStyle w:val="Hyperlink"/>
          </w:rPr>
          <w:t>Ad-hoc statistical release ID 11 supplementary</w:t>
        </w:r>
      </w:hyperlink>
      <w:r w:rsidR="00F12178">
        <w:t>.</w:t>
      </w:r>
    </w:p>
    <w:p w14:paraId="43D3E60B" w14:textId="5179CB63" w:rsidR="00B02B3D" w:rsidRDefault="00B02B3D" w:rsidP="00B02B3D">
      <w:pPr>
        <w:rPr>
          <w:rFonts w:eastAsia="Arial"/>
        </w:rPr>
      </w:pPr>
    </w:p>
    <w:p w14:paraId="59681038" w14:textId="080F08DE" w:rsidR="006416F3" w:rsidRPr="00544291" w:rsidRDefault="006416F3" w:rsidP="00B02B3D">
      <w:pPr>
        <w:pStyle w:val="Heading1"/>
      </w:pPr>
      <w:r>
        <w:rPr>
          <w:rFonts w:eastAsia="Arial"/>
        </w:rPr>
        <w:lastRenderedPageBreak/>
        <w:t>4.</w:t>
      </w:r>
      <w:r>
        <w:rPr>
          <w:rFonts w:eastAsia="Arial"/>
        </w:rPr>
        <w:tab/>
        <w:t>G</w:t>
      </w:r>
      <w:r w:rsidR="00544291">
        <w:rPr>
          <w:rFonts w:eastAsia="Arial"/>
        </w:rPr>
        <w:t>roup Membership</w:t>
      </w:r>
      <w:bookmarkEnd w:id="19"/>
      <w:bookmarkEnd w:id="20"/>
    </w:p>
    <w:p w14:paraId="7101F9B5" w14:textId="4441B506" w:rsidR="00001402" w:rsidRDefault="006416F3" w:rsidP="000C6DC8">
      <w:r>
        <w:rPr>
          <w:rFonts w:eastAsia="Arial" w:cs="Arial"/>
          <w:szCs w:val="24"/>
        </w:rPr>
        <w:t>4.1</w:t>
      </w:r>
      <w:r>
        <w:rPr>
          <w:rFonts w:eastAsia="Arial" w:cs="Arial"/>
          <w:szCs w:val="24"/>
        </w:rPr>
        <w:tab/>
      </w:r>
      <w:r w:rsidRPr="006416F3">
        <w:rPr>
          <w:rFonts w:eastAsia="Arial" w:cs="Arial"/>
          <w:szCs w:val="24"/>
        </w:rPr>
        <w:t xml:space="preserve">With thanks to the members of the group who </w:t>
      </w:r>
      <w:r>
        <w:rPr>
          <w:rFonts w:eastAsia="Arial" w:cs="Arial"/>
          <w:szCs w:val="24"/>
        </w:rPr>
        <w:t xml:space="preserve">provided their </w:t>
      </w:r>
      <w:r w:rsidR="00882EB6">
        <w:rPr>
          <w:rFonts w:eastAsia="Arial" w:cs="Arial"/>
          <w:szCs w:val="24"/>
        </w:rPr>
        <w:t xml:space="preserve">valuable </w:t>
      </w:r>
      <w:r>
        <w:rPr>
          <w:rFonts w:eastAsia="Arial" w:cs="Arial"/>
          <w:szCs w:val="24"/>
        </w:rPr>
        <w:t xml:space="preserve">time and expertise and </w:t>
      </w:r>
      <w:r w:rsidRPr="006416F3">
        <w:rPr>
          <w:rFonts w:eastAsia="Arial" w:cs="Arial"/>
          <w:szCs w:val="24"/>
        </w:rPr>
        <w:t xml:space="preserve">led this work. </w:t>
      </w:r>
    </w:p>
    <w:p w14:paraId="66A00BF4" w14:textId="77777777" w:rsidR="006416F3" w:rsidRPr="006416F3" w:rsidRDefault="006416F3" w:rsidP="000C6DC8">
      <w:pPr>
        <w:pStyle w:val="ListParagraph"/>
        <w:numPr>
          <w:ilvl w:val="0"/>
          <w:numId w:val="74"/>
        </w:numPr>
        <w:rPr>
          <w:rFonts w:cs="Arial"/>
          <w:szCs w:val="24"/>
        </w:rPr>
      </w:pPr>
      <w:r w:rsidRPr="006416F3">
        <w:rPr>
          <w:rFonts w:cs="Arial"/>
          <w:szCs w:val="24"/>
        </w:rPr>
        <w:t>Angela Kazmierczak, Aberdeen City Council</w:t>
      </w:r>
    </w:p>
    <w:p w14:paraId="24F773BF" w14:textId="77777777" w:rsidR="006416F3" w:rsidRPr="006416F3" w:rsidRDefault="006416F3" w:rsidP="000C6DC8">
      <w:pPr>
        <w:pStyle w:val="ListParagraph"/>
        <w:numPr>
          <w:ilvl w:val="0"/>
          <w:numId w:val="74"/>
        </w:numPr>
        <w:rPr>
          <w:rFonts w:cs="Arial"/>
          <w:szCs w:val="24"/>
        </w:rPr>
      </w:pPr>
      <w:r w:rsidRPr="006416F3">
        <w:rPr>
          <w:rFonts w:cs="Arial"/>
          <w:szCs w:val="24"/>
        </w:rPr>
        <w:t>Daniel Kelly, Money and Pensions Service</w:t>
      </w:r>
    </w:p>
    <w:p w14:paraId="442033A3" w14:textId="77777777" w:rsidR="006416F3" w:rsidRPr="006416F3" w:rsidRDefault="006416F3" w:rsidP="000C6DC8">
      <w:pPr>
        <w:pStyle w:val="ListParagraph"/>
        <w:numPr>
          <w:ilvl w:val="0"/>
          <w:numId w:val="74"/>
        </w:numPr>
        <w:rPr>
          <w:rFonts w:cs="Arial"/>
          <w:szCs w:val="24"/>
        </w:rPr>
      </w:pPr>
      <w:r w:rsidRPr="006416F3">
        <w:rPr>
          <w:rFonts w:cs="Arial"/>
          <w:szCs w:val="24"/>
        </w:rPr>
        <w:t>David Hilferty, MAS (left group on 5 July)</w:t>
      </w:r>
    </w:p>
    <w:p w14:paraId="2269D879" w14:textId="77777777" w:rsidR="006416F3" w:rsidRPr="006416F3" w:rsidRDefault="006416F3" w:rsidP="000C6DC8">
      <w:pPr>
        <w:pStyle w:val="ListParagraph"/>
        <w:numPr>
          <w:ilvl w:val="0"/>
          <w:numId w:val="74"/>
        </w:numPr>
        <w:rPr>
          <w:rFonts w:cs="Arial"/>
          <w:szCs w:val="24"/>
        </w:rPr>
      </w:pPr>
      <w:r w:rsidRPr="006416F3">
        <w:rPr>
          <w:rFonts w:cs="Arial"/>
          <w:szCs w:val="24"/>
        </w:rPr>
        <w:t>Abbey Fleming, MAS (joined group on 5 July)</w:t>
      </w:r>
    </w:p>
    <w:p w14:paraId="51A24EC8" w14:textId="77777777" w:rsidR="006416F3" w:rsidRPr="006416F3" w:rsidRDefault="006416F3" w:rsidP="000C6DC8">
      <w:pPr>
        <w:pStyle w:val="ListParagraph"/>
        <w:numPr>
          <w:ilvl w:val="0"/>
          <w:numId w:val="74"/>
        </w:numPr>
        <w:rPr>
          <w:rFonts w:cs="Arial"/>
          <w:szCs w:val="24"/>
        </w:rPr>
      </w:pPr>
      <w:r w:rsidRPr="006416F3">
        <w:rPr>
          <w:rFonts w:cs="Arial"/>
          <w:szCs w:val="24"/>
        </w:rPr>
        <w:t>David Menzies, ICAS</w:t>
      </w:r>
    </w:p>
    <w:p w14:paraId="5AB52AAB" w14:textId="77777777" w:rsidR="006416F3" w:rsidRPr="006416F3" w:rsidRDefault="006416F3" w:rsidP="000C6DC8">
      <w:pPr>
        <w:pStyle w:val="ListParagraph"/>
        <w:numPr>
          <w:ilvl w:val="0"/>
          <w:numId w:val="74"/>
        </w:numPr>
        <w:rPr>
          <w:rFonts w:cs="Arial"/>
          <w:szCs w:val="24"/>
        </w:rPr>
      </w:pPr>
      <w:r w:rsidRPr="006416F3">
        <w:rPr>
          <w:rFonts w:cs="Arial"/>
          <w:szCs w:val="24"/>
        </w:rPr>
        <w:t>David Ogston, CAB</w:t>
      </w:r>
    </w:p>
    <w:p w14:paraId="7332BE0E" w14:textId="77777777" w:rsidR="006416F3" w:rsidRPr="006416F3" w:rsidRDefault="006416F3" w:rsidP="000C6DC8">
      <w:pPr>
        <w:pStyle w:val="ListParagraph"/>
        <w:numPr>
          <w:ilvl w:val="0"/>
          <w:numId w:val="74"/>
        </w:numPr>
        <w:rPr>
          <w:rFonts w:cs="Arial"/>
          <w:szCs w:val="24"/>
        </w:rPr>
      </w:pPr>
      <w:r w:rsidRPr="006416F3">
        <w:rPr>
          <w:rFonts w:cs="Arial"/>
          <w:szCs w:val="24"/>
        </w:rPr>
        <w:t>Dermot O’Neill, Scottish League of Credit Unions</w:t>
      </w:r>
    </w:p>
    <w:p w14:paraId="7CB21A6A" w14:textId="77777777" w:rsidR="006416F3" w:rsidRPr="006416F3" w:rsidRDefault="006416F3" w:rsidP="000C6DC8">
      <w:pPr>
        <w:pStyle w:val="ListParagraph"/>
        <w:numPr>
          <w:ilvl w:val="0"/>
          <w:numId w:val="74"/>
        </w:numPr>
        <w:rPr>
          <w:rFonts w:cs="Arial"/>
          <w:szCs w:val="24"/>
        </w:rPr>
      </w:pPr>
      <w:r w:rsidRPr="006416F3">
        <w:rPr>
          <w:rFonts w:cs="Arial"/>
          <w:szCs w:val="24"/>
        </w:rPr>
        <w:t>Gareth McNab, Christians Against Poverty</w:t>
      </w:r>
    </w:p>
    <w:p w14:paraId="57AC541C" w14:textId="77777777" w:rsidR="006416F3" w:rsidRPr="006416F3" w:rsidRDefault="006416F3" w:rsidP="000C6DC8">
      <w:pPr>
        <w:pStyle w:val="ListParagraph"/>
        <w:numPr>
          <w:ilvl w:val="0"/>
          <w:numId w:val="74"/>
        </w:numPr>
        <w:rPr>
          <w:rFonts w:cs="Arial"/>
          <w:szCs w:val="24"/>
        </w:rPr>
      </w:pPr>
      <w:r w:rsidRPr="006416F3">
        <w:rPr>
          <w:rFonts w:cs="Arial"/>
          <w:szCs w:val="24"/>
        </w:rPr>
        <w:t>Ian Fiddeman, UK Finance</w:t>
      </w:r>
    </w:p>
    <w:p w14:paraId="09239CE7" w14:textId="77777777" w:rsidR="006416F3" w:rsidRPr="006416F3" w:rsidRDefault="006416F3" w:rsidP="000C6DC8">
      <w:pPr>
        <w:pStyle w:val="ListParagraph"/>
        <w:numPr>
          <w:ilvl w:val="0"/>
          <w:numId w:val="74"/>
        </w:numPr>
        <w:rPr>
          <w:rFonts w:cs="Arial"/>
          <w:szCs w:val="24"/>
        </w:rPr>
      </w:pPr>
      <w:r w:rsidRPr="006416F3">
        <w:rPr>
          <w:rFonts w:cs="Arial"/>
          <w:szCs w:val="24"/>
        </w:rPr>
        <w:t>Joseph McMonagle, Money Matters Advice Service</w:t>
      </w:r>
    </w:p>
    <w:p w14:paraId="3646FE85" w14:textId="77777777" w:rsidR="006416F3" w:rsidRPr="006416F3" w:rsidRDefault="006416F3" w:rsidP="000C6DC8">
      <w:pPr>
        <w:pStyle w:val="ListParagraph"/>
        <w:numPr>
          <w:ilvl w:val="0"/>
          <w:numId w:val="74"/>
        </w:numPr>
        <w:rPr>
          <w:rFonts w:cs="Arial"/>
          <w:szCs w:val="24"/>
        </w:rPr>
      </w:pPr>
      <w:r w:rsidRPr="006416F3">
        <w:rPr>
          <w:rFonts w:cs="Arial"/>
          <w:szCs w:val="24"/>
        </w:rPr>
        <w:t>Matt Hartley, Money Advice Trust</w:t>
      </w:r>
    </w:p>
    <w:p w14:paraId="5C9EFB6C" w14:textId="77777777" w:rsidR="006416F3" w:rsidRPr="006416F3" w:rsidRDefault="006416F3" w:rsidP="000C6DC8">
      <w:pPr>
        <w:pStyle w:val="ListParagraph"/>
        <w:numPr>
          <w:ilvl w:val="0"/>
          <w:numId w:val="74"/>
        </w:numPr>
        <w:rPr>
          <w:rFonts w:cs="Arial"/>
          <w:szCs w:val="24"/>
        </w:rPr>
      </w:pPr>
      <w:r w:rsidRPr="006416F3">
        <w:rPr>
          <w:rFonts w:cs="Arial"/>
          <w:szCs w:val="24"/>
        </w:rPr>
        <w:t>Sarah-Jayne Dunn, CAS</w:t>
      </w:r>
    </w:p>
    <w:p w14:paraId="5A204689" w14:textId="77777777" w:rsidR="006416F3" w:rsidRPr="006416F3" w:rsidRDefault="006416F3" w:rsidP="000C6DC8">
      <w:pPr>
        <w:pStyle w:val="ListParagraph"/>
        <w:numPr>
          <w:ilvl w:val="0"/>
          <w:numId w:val="74"/>
        </w:numPr>
        <w:rPr>
          <w:rFonts w:cs="Arial"/>
          <w:szCs w:val="24"/>
        </w:rPr>
      </w:pPr>
      <w:r w:rsidRPr="006416F3">
        <w:rPr>
          <w:rFonts w:cs="Arial"/>
          <w:szCs w:val="24"/>
        </w:rPr>
        <w:t>Sharon Bell, StepChange</w:t>
      </w:r>
    </w:p>
    <w:p w14:paraId="233EC99E" w14:textId="77777777" w:rsidR="006416F3" w:rsidRPr="006416F3" w:rsidRDefault="006416F3" w:rsidP="000C6DC8">
      <w:pPr>
        <w:pStyle w:val="ListParagraph"/>
        <w:numPr>
          <w:ilvl w:val="0"/>
          <w:numId w:val="74"/>
        </w:numPr>
        <w:rPr>
          <w:rFonts w:cs="Arial"/>
          <w:szCs w:val="24"/>
        </w:rPr>
      </w:pPr>
      <w:r w:rsidRPr="006416F3">
        <w:rPr>
          <w:rFonts w:cs="Arial"/>
          <w:szCs w:val="24"/>
        </w:rPr>
        <w:t>Tommy Gallacher, Azets</w:t>
      </w:r>
    </w:p>
    <w:p w14:paraId="4FCB1C6B" w14:textId="1B67BB33" w:rsidR="006416F3" w:rsidRDefault="006416F3" w:rsidP="000C6DC8"/>
    <w:p w14:paraId="69B1A086" w14:textId="490D7762" w:rsidR="006416F3" w:rsidRDefault="006416F3" w:rsidP="000C6DC8"/>
    <w:sectPr w:rsidR="006416F3" w:rsidSect="00855CDD">
      <w:footerReference w:type="default" r:id="rId12"/>
      <w:pgSz w:w="11906" w:h="16838" w:code="9"/>
      <w:pgMar w:top="1440" w:right="1440" w:bottom="1440" w:left="144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4620" w14:textId="77777777" w:rsidR="00430FFE" w:rsidRDefault="00430FFE" w:rsidP="005F2797">
      <w:r>
        <w:separator/>
      </w:r>
    </w:p>
  </w:endnote>
  <w:endnote w:type="continuationSeparator" w:id="0">
    <w:p w14:paraId="67229450" w14:textId="77777777" w:rsidR="00430FFE" w:rsidRDefault="00430FFE" w:rsidP="005F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664479"/>
      <w:docPartObj>
        <w:docPartGallery w:val="Page Numbers (Bottom of Page)"/>
        <w:docPartUnique/>
      </w:docPartObj>
    </w:sdtPr>
    <w:sdtEndPr>
      <w:rPr>
        <w:noProof/>
      </w:rPr>
    </w:sdtEndPr>
    <w:sdtContent>
      <w:p w14:paraId="593AF004" w14:textId="20FF6BDB" w:rsidR="00855CDD" w:rsidRDefault="00855CDD">
        <w:pPr>
          <w:pStyle w:val="Footer"/>
          <w:jc w:val="center"/>
        </w:pPr>
        <w:r>
          <w:fldChar w:fldCharType="begin"/>
        </w:r>
        <w:r>
          <w:instrText xml:space="preserve"> PAGE   \* MERGEFORMAT </w:instrText>
        </w:r>
        <w:r>
          <w:fldChar w:fldCharType="separate"/>
        </w:r>
        <w:r w:rsidR="000573AD">
          <w:rPr>
            <w:noProof/>
          </w:rPr>
          <w:t>20</w:t>
        </w:r>
        <w:r>
          <w:rPr>
            <w:noProof/>
          </w:rPr>
          <w:fldChar w:fldCharType="end"/>
        </w:r>
      </w:p>
    </w:sdtContent>
  </w:sdt>
  <w:p w14:paraId="29AFA4AB" w14:textId="77777777" w:rsidR="007F555D" w:rsidRDefault="007F5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955C2" w14:textId="77777777" w:rsidR="00430FFE" w:rsidRDefault="00430FFE" w:rsidP="005F2797">
      <w:r>
        <w:separator/>
      </w:r>
    </w:p>
  </w:footnote>
  <w:footnote w:type="continuationSeparator" w:id="0">
    <w:p w14:paraId="2AD72CC0" w14:textId="77777777" w:rsidR="00430FFE" w:rsidRDefault="00430FFE" w:rsidP="005F2797">
      <w:r>
        <w:continuationSeparator/>
      </w:r>
    </w:p>
  </w:footnote>
  <w:footnote w:id="1">
    <w:p w14:paraId="21369376" w14:textId="77777777" w:rsidR="005F2797" w:rsidRDefault="005F2797" w:rsidP="005F2797">
      <w:pPr>
        <w:pStyle w:val="FootnoteText"/>
      </w:pPr>
      <w:r w:rsidRPr="67BC8AA8">
        <w:rPr>
          <w:rStyle w:val="FootnoteReference"/>
          <w:rFonts w:ascii="Arial" w:hAnsi="Arial" w:cs="Times New Roman"/>
        </w:rPr>
        <w:footnoteRef/>
      </w:r>
      <w:r w:rsidRPr="67BC8AA8">
        <w:rPr>
          <w:rFonts w:ascii="Arial" w:hAnsi="Arial" w:cs="Times New Roman"/>
        </w:rPr>
        <w:t xml:space="preserve"> </w:t>
      </w:r>
      <w:r w:rsidRPr="67BC8AA8">
        <w:rPr>
          <w:rFonts w:ascii="Arial" w:eastAsia="Arial" w:hAnsi="Arial" w:cs="Arial"/>
          <w:sz w:val="24"/>
          <w:szCs w:val="24"/>
          <w:vertAlign w:val="superscript"/>
        </w:rPr>
        <w:t>[1]</w:t>
      </w:r>
      <w:r w:rsidRPr="67BC8AA8">
        <w:rPr>
          <w:rFonts w:ascii="Arial" w:eastAsia="Arial" w:hAnsi="Arial" w:cs="Arial"/>
          <w:sz w:val="24"/>
          <w:szCs w:val="24"/>
        </w:rPr>
        <w:t xml:space="preserve"> StepChange UK; and Tesco Bank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D5659C"/>
    <w:multiLevelType w:val="hybridMultilevel"/>
    <w:tmpl w:val="B25C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B13A9"/>
    <w:multiLevelType w:val="hybridMultilevel"/>
    <w:tmpl w:val="C6C2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07D30"/>
    <w:multiLevelType w:val="hybridMultilevel"/>
    <w:tmpl w:val="C974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B311B"/>
    <w:multiLevelType w:val="hybridMultilevel"/>
    <w:tmpl w:val="1C2AC58C"/>
    <w:lvl w:ilvl="0" w:tplc="288A9C16">
      <w:start w:val="1"/>
      <w:numFmt w:val="bullet"/>
      <w:lvlText w:val="·"/>
      <w:lvlJc w:val="left"/>
      <w:pPr>
        <w:ind w:left="720" w:hanging="360"/>
      </w:pPr>
      <w:rPr>
        <w:rFonts w:ascii="Symbol" w:hAnsi="Symbol" w:hint="default"/>
      </w:rPr>
    </w:lvl>
    <w:lvl w:ilvl="1" w:tplc="6EC04CEA">
      <w:start w:val="1"/>
      <w:numFmt w:val="bullet"/>
      <w:lvlText w:val="o"/>
      <w:lvlJc w:val="left"/>
      <w:pPr>
        <w:ind w:left="1440" w:hanging="360"/>
      </w:pPr>
      <w:rPr>
        <w:rFonts w:ascii="Courier New" w:hAnsi="Courier New" w:hint="default"/>
      </w:rPr>
    </w:lvl>
    <w:lvl w:ilvl="2" w:tplc="114C09A4">
      <w:start w:val="1"/>
      <w:numFmt w:val="bullet"/>
      <w:lvlText w:val=""/>
      <w:lvlJc w:val="left"/>
      <w:pPr>
        <w:ind w:left="2160" w:hanging="360"/>
      </w:pPr>
      <w:rPr>
        <w:rFonts w:ascii="Wingdings" w:hAnsi="Wingdings" w:hint="default"/>
      </w:rPr>
    </w:lvl>
    <w:lvl w:ilvl="3" w:tplc="1A06DB6E">
      <w:start w:val="1"/>
      <w:numFmt w:val="bullet"/>
      <w:lvlText w:val=""/>
      <w:lvlJc w:val="left"/>
      <w:pPr>
        <w:ind w:left="2880" w:hanging="360"/>
      </w:pPr>
      <w:rPr>
        <w:rFonts w:ascii="Symbol" w:hAnsi="Symbol" w:hint="default"/>
      </w:rPr>
    </w:lvl>
    <w:lvl w:ilvl="4" w:tplc="BC582F90">
      <w:start w:val="1"/>
      <w:numFmt w:val="bullet"/>
      <w:lvlText w:val="o"/>
      <w:lvlJc w:val="left"/>
      <w:pPr>
        <w:ind w:left="3600" w:hanging="360"/>
      </w:pPr>
      <w:rPr>
        <w:rFonts w:ascii="Courier New" w:hAnsi="Courier New" w:hint="default"/>
      </w:rPr>
    </w:lvl>
    <w:lvl w:ilvl="5" w:tplc="ED789E3A">
      <w:start w:val="1"/>
      <w:numFmt w:val="bullet"/>
      <w:lvlText w:val=""/>
      <w:lvlJc w:val="left"/>
      <w:pPr>
        <w:ind w:left="4320" w:hanging="360"/>
      </w:pPr>
      <w:rPr>
        <w:rFonts w:ascii="Wingdings" w:hAnsi="Wingdings" w:hint="default"/>
      </w:rPr>
    </w:lvl>
    <w:lvl w:ilvl="6" w:tplc="95289AD0">
      <w:start w:val="1"/>
      <w:numFmt w:val="bullet"/>
      <w:lvlText w:val=""/>
      <w:lvlJc w:val="left"/>
      <w:pPr>
        <w:ind w:left="5040" w:hanging="360"/>
      </w:pPr>
      <w:rPr>
        <w:rFonts w:ascii="Symbol" w:hAnsi="Symbol" w:hint="default"/>
      </w:rPr>
    </w:lvl>
    <w:lvl w:ilvl="7" w:tplc="C5A29316">
      <w:start w:val="1"/>
      <w:numFmt w:val="bullet"/>
      <w:lvlText w:val="o"/>
      <w:lvlJc w:val="left"/>
      <w:pPr>
        <w:ind w:left="5760" w:hanging="360"/>
      </w:pPr>
      <w:rPr>
        <w:rFonts w:ascii="Courier New" w:hAnsi="Courier New" w:hint="default"/>
      </w:rPr>
    </w:lvl>
    <w:lvl w:ilvl="8" w:tplc="4CB07046">
      <w:start w:val="1"/>
      <w:numFmt w:val="bullet"/>
      <w:lvlText w:val=""/>
      <w:lvlJc w:val="left"/>
      <w:pPr>
        <w:ind w:left="6480" w:hanging="360"/>
      </w:pPr>
      <w:rPr>
        <w:rFonts w:ascii="Wingdings" w:hAnsi="Wingdings" w:hint="default"/>
      </w:rPr>
    </w:lvl>
  </w:abstractNum>
  <w:abstractNum w:abstractNumId="5" w15:restartNumberingAfterBreak="0">
    <w:nsid w:val="055E0BD6"/>
    <w:multiLevelType w:val="hybridMultilevel"/>
    <w:tmpl w:val="7800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D154D"/>
    <w:multiLevelType w:val="hybridMultilevel"/>
    <w:tmpl w:val="D4429B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650E4"/>
    <w:multiLevelType w:val="hybridMultilevel"/>
    <w:tmpl w:val="EB30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B2808"/>
    <w:multiLevelType w:val="hybridMultilevel"/>
    <w:tmpl w:val="4A28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818AC"/>
    <w:multiLevelType w:val="hybridMultilevel"/>
    <w:tmpl w:val="7D22249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10E5791"/>
    <w:multiLevelType w:val="hybridMultilevel"/>
    <w:tmpl w:val="578E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43FDB"/>
    <w:multiLevelType w:val="hybridMultilevel"/>
    <w:tmpl w:val="0EBC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55BD4"/>
    <w:multiLevelType w:val="hybridMultilevel"/>
    <w:tmpl w:val="4116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4056C"/>
    <w:multiLevelType w:val="hybridMultilevel"/>
    <w:tmpl w:val="75DC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50F7A"/>
    <w:multiLevelType w:val="hybridMultilevel"/>
    <w:tmpl w:val="D164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474DE"/>
    <w:multiLevelType w:val="hybridMultilevel"/>
    <w:tmpl w:val="9134ED22"/>
    <w:lvl w:ilvl="0" w:tplc="D97E6408">
      <w:start w:val="1"/>
      <w:numFmt w:val="bullet"/>
      <w:lvlText w:val="·"/>
      <w:lvlJc w:val="left"/>
      <w:pPr>
        <w:ind w:left="1080" w:hanging="360"/>
      </w:pPr>
      <w:rPr>
        <w:rFonts w:ascii="Symbol" w:hAnsi="Symbol" w:hint="default"/>
      </w:rPr>
    </w:lvl>
    <w:lvl w:ilvl="1" w:tplc="19669FFC">
      <w:start w:val="1"/>
      <w:numFmt w:val="bullet"/>
      <w:lvlText w:val="o"/>
      <w:lvlJc w:val="left"/>
      <w:pPr>
        <w:ind w:left="1800" w:hanging="360"/>
      </w:pPr>
      <w:rPr>
        <w:rFonts w:ascii="Courier New" w:hAnsi="Courier New" w:hint="default"/>
      </w:rPr>
    </w:lvl>
    <w:lvl w:ilvl="2" w:tplc="F458964E">
      <w:start w:val="1"/>
      <w:numFmt w:val="bullet"/>
      <w:lvlText w:val=""/>
      <w:lvlJc w:val="left"/>
      <w:pPr>
        <w:ind w:left="2520" w:hanging="360"/>
      </w:pPr>
      <w:rPr>
        <w:rFonts w:ascii="Wingdings" w:hAnsi="Wingdings" w:hint="default"/>
      </w:rPr>
    </w:lvl>
    <w:lvl w:ilvl="3" w:tplc="9182C680">
      <w:start w:val="1"/>
      <w:numFmt w:val="bullet"/>
      <w:lvlText w:val=""/>
      <w:lvlJc w:val="left"/>
      <w:pPr>
        <w:ind w:left="3240" w:hanging="360"/>
      </w:pPr>
      <w:rPr>
        <w:rFonts w:ascii="Symbol" w:hAnsi="Symbol" w:hint="default"/>
      </w:rPr>
    </w:lvl>
    <w:lvl w:ilvl="4" w:tplc="C5DAF686">
      <w:start w:val="1"/>
      <w:numFmt w:val="bullet"/>
      <w:lvlText w:val="o"/>
      <w:lvlJc w:val="left"/>
      <w:pPr>
        <w:ind w:left="3960" w:hanging="360"/>
      </w:pPr>
      <w:rPr>
        <w:rFonts w:ascii="Courier New" w:hAnsi="Courier New" w:hint="default"/>
      </w:rPr>
    </w:lvl>
    <w:lvl w:ilvl="5" w:tplc="F5E85DBE">
      <w:start w:val="1"/>
      <w:numFmt w:val="bullet"/>
      <w:lvlText w:val=""/>
      <w:lvlJc w:val="left"/>
      <w:pPr>
        <w:ind w:left="4680" w:hanging="360"/>
      </w:pPr>
      <w:rPr>
        <w:rFonts w:ascii="Wingdings" w:hAnsi="Wingdings" w:hint="default"/>
      </w:rPr>
    </w:lvl>
    <w:lvl w:ilvl="6" w:tplc="94DE99B2">
      <w:start w:val="1"/>
      <w:numFmt w:val="bullet"/>
      <w:lvlText w:val=""/>
      <w:lvlJc w:val="left"/>
      <w:pPr>
        <w:ind w:left="5400" w:hanging="360"/>
      </w:pPr>
      <w:rPr>
        <w:rFonts w:ascii="Symbol" w:hAnsi="Symbol" w:hint="default"/>
      </w:rPr>
    </w:lvl>
    <w:lvl w:ilvl="7" w:tplc="A81CB09E">
      <w:start w:val="1"/>
      <w:numFmt w:val="bullet"/>
      <w:lvlText w:val="o"/>
      <w:lvlJc w:val="left"/>
      <w:pPr>
        <w:ind w:left="6120" w:hanging="360"/>
      </w:pPr>
      <w:rPr>
        <w:rFonts w:ascii="Courier New" w:hAnsi="Courier New" w:hint="default"/>
      </w:rPr>
    </w:lvl>
    <w:lvl w:ilvl="8" w:tplc="43384BC2">
      <w:start w:val="1"/>
      <w:numFmt w:val="bullet"/>
      <w:lvlText w:val=""/>
      <w:lvlJc w:val="left"/>
      <w:pPr>
        <w:ind w:left="6840" w:hanging="360"/>
      </w:pPr>
      <w:rPr>
        <w:rFonts w:ascii="Wingdings" w:hAnsi="Wingdings" w:hint="default"/>
      </w:rPr>
    </w:lvl>
  </w:abstractNum>
  <w:abstractNum w:abstractNumId="16" w15:restartNumberingAfterBreak="0">
    <w:nsid w:val="2DE449F6"/>
    <w:multiLevelType w:val="hybridMultilevel"/>
    <w:tmpl w:val="B0B4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44209"/>
    <w:multiLevelType w:val="hybridMultilevel"/>
    <w:tmpl w:val="38F2ED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F3774"/>
    <w:multiLevelType w:val="hybridMultilevel"/>
    <w:tmpl w:val="493E4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FA7F87"/>
    <w:multiLevelType w:val="hybridMultilevel"/>
    <w:tmpl w:val="8846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257E62"/>
    <w:multiLevelType w:val="hybridMultilevel"/>
    <w:tmpl w:val="7AEA0A92"/>
    <w:lvl w:ilvl="0" w:tplc="FDC079A2">
      <w:start w:val="1"/>
      <w:numFmt w:val="bullet"/>
      <w:lvlText w:val="·"/>
      <w:lvlJc w:val="left"/>
      <w:pPr>
        <w:ind w:left="720" w:hanging="360"/>
      </w:pPr>
      <w:rPr>
        <w:rFonts w:ascii="Symbol" w:hAnsi="Symbol" w:hint="default"/>
      </w:rPr>
    </w:lvl>
    <w:lvl w:ilvl="1" w:tplc="A7A84B86">
      <w:start w:val="1"/>
      <w:numFmt w:val="bullet"/>
      <w:lvlText w:val="o"/>
      <w:lvlJc w:val="left"/>
      <w:pPr>
        <w:ind w:left="1440" w:hanging="360"/>
      </w:pPr>
      <w:rPr>
        <w:rFonts w:ascii="Courier New" w:hAnsi="Courier New" w:hint="default"/>
      </w:rPr>
    </w:lvl>
    <w:lvl w:ilvl="2" w:tplc="AF5E40C2">
      <w:start w:val="1"/>
      <w:numFmt w:val="bullet"/>
      <w:lvlText w:val=""/>
      <w:lvlJc w:val="left"/>
      <w:pPr>
        <w:ind w:left="2160" w:hanging="360"/>
      </w:pPr>
      <w:rPr>
        <w:rFonts w:ascii="Wingdings" w:hAnsi="Wingdings" w:hint="default"/>
      </w:rPr>
    </w:lvl>
    <w:lvl w:ilvl="3" w:tplc="E13EB80A">
      <w:start w:val="1"/>
      <w:numFmt w:val="bullet"/>
      <w:lvlText w:val=""/>
      <w:lvlJc w:val="left"/>
      <w:pPr>
        <w:ind w:left="2880" w:hanging="360"/>
      </w:pPr>
      <w:rPr>
        <w:rFonts w:ascii="Symbol" w:hAnsi="Symbol" w:hint="default"/>
      </w:rPr>
    </w:lvl>
    <w:lvl w:ilvl="4" w:tplc="CA3289E0">
      <w:start w:val="1"/>
      <w:numFmt w:val="bullet"/>
      <w:lvlText w:val="o"/>
      <w:lvlJc w:val="left"/>
      <w:pPr>
        <w:ind w:left="3600" w:hanging="360"/>
      </w:pPr>
      <w:rPr>
        <w:rFonts w:ascii="Courier New" w:hAnsi="Courier New" w:hint="default"/>
      </w:rPr>
    </w:lvl>
    <w:lvl w:ilvl="5" w:tplc="0230396A">
      <w:start w:val="1"/>
      <w:numFmt w:val="bullet"/>
      <w:lvlText w:val=""/>
      <w:lvlJc w:val="left"/>
      <w:pPr>
        <w:ind w:left="4320" w:hanging="360"/>
      </w:pPr>
      <w:rPr>
        <w:rFonts w:ascii="Wingdings" w:hAnsi="Wingdings" w:hint="default"/>
      </w:rPr>
    </w:lvl>
    <w:lvl w:ilvl="6" w:tplc="E11EB79A">
      <w:start w:val="1"/>
      <w:numFmt w:val="bullet"/>
      <w:lvlText w:val=""/>
      <w:lvlJc w:val="left"/>
      <w:pPr>
        <w:ind w:left="5040" w:hanging="360"/>
      </w:pPr>
      <w:rPr>
        <w:rFonts w:ascii="Symbol" w:hAnsi="Symbol" w:hint="default"/>
      </w:rPr>
    </w:lvl>
    <w:lvl w:ilvl="7" w:tplc="01046AA0">
      <w:start w:val="1"/>
      <w:numFmt w:val="bullet"/>
      <w:lvlText w:val="o"/>
      <w:lvlJc w:val="left"/>
      <w:pPr>
        <w:ind w:left="5760" w:hanging="360"/>
      </w:pPr>
      <w:rPr>
        <w:rFonts w:ascii="Courier New" w:hAnsi="Courier New" w:hint="default"/>
      </w:rPr>
    </w:lvl>
    <w:lvl w:ilvl="8" w:tplc="1050437E">
      <w:start w:val="1"/>
      <w:numFmt w:val="bullet"/>
      <w:lvlText w:val=""/>
      <w:lvlJc w:val="left"/>
      <w:pPr>
        <w:ind w:left="6480" w:hanging="360"/>
      </w:pPr>
      <w:rPr>
        <w:rFonts w:ascii="Wingdings" w:hAnsi="Wingdings" w:hint="default"/>
      </w:rPr>
    </w:lvl>
  </w:abstractNum>
  <w:abstractNum w:abstractNumId="21" w15:restartNumberingAfterBreak="0">
    <w:nsid w:val="36267C4D"/>
    <w:multiLevelType w:val="hybridMultilevel"/>
    <w:tmpl w:val="F484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D42C4"/>
    <w:multiLevelType w:val="hybridMultilevel"/>
    <w:tmpl w:val="44C0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63537"/>
    <w:multiLevelType w:val="hybridMultilevel"/>
    <w:tmpl w:val="BF44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071BB4"/>
    <w:multiLevelType w:val="hybridMultilevel"/>
    <w:tmpl w:val="C6CC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1405E"/>
    <w:multiLevelType w:val="hybridMultilevel"/>
    <w:tmpl w:val="B2A4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9B3BBD"/>
    <w:multiLevelType w:val="hybridMultilevel"/>
    <w:tmpl w:val="129C27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8B7AB3"/>
    <w:multiLevelType w:val="hybridMultilevel"/>
    <w:tmpl w:val="0BAC1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084420F"/>
    <w:multiLevelType w:val="hybridMultilevel"/>
    <w:tmpl w:val="8D9E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6252D"/>
    <w:multiLevelType w:val="hybridMultilevel"/>
    <w:tmpl w:val="553E7D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4530D2"/>
    <w:multiLevelType w:val="hybridMultilevel"/>
    <w:tmpl w:val="4D24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BF117D"/>
    <w:multiLevelType w:val="hybridMultilevel"/>
    <w:tmpl w:val="5B8C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760239"/>
    <w:multiLevelType w:val="hybridMultilevel"/>
    <w:tmpl w:val="0A06E2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7A76BF"/>
    <w:multiLevelType w:val="hybridMultilevel"/>
    <w:tmpl w:val="82A09FF8"/>
    <w:lvl w:ilvl="0" w:tplc="937EC8E4">
      <w:start w:val="1"/>
      <w:numFmt w:val="bullet"/>
      <w:lvlText w:val="·"/>
      <w:lvlJc w:val="left"/>
      <w:pPr>
        <w:ind w:left="720" w:hanging="360"/>
      </w:pPr>
      <w:rPr>
        <w:rFonts w:ascii="Symbol" w:hAnsi="Symbol" w:hint="default"/>
      </w:rPr>
    </w:lvl>
    <w:lvl w:ilvl="1" w:tplc="5E8CBF12">
      <w:start w:val="1"/>
      <w:numFmt w:val="bullet"/>
      <w:lvlText w:val="o"/>
      <w:lvlJc w:val="left"/>
      <w:pPr>
        <w:ind w:left="1440" w:hanging="360"/>
      </w:pPr>
      <w:rPr>
        <w:rFonts w:ascii="Courier New" w:hAnsi="Courier New" w:hint="default"/>
      </w:rPr>
    </w:lvl>
    <w:lvl w:ilvl="2" w:tplc="BBE24DF2">
      <w:start w:val="1"/>
      <w:numFmt w:val="bullet"/>
      <w:lvlText w:val=""/>
      <w:lvlJc w:val="left"/>
      <w:pPr>
        <w:ind w:left="2160" w:hanging="360"/>
      </w:pPr>
      <w:rPr>
        <w:rFonts w:ascii="Wingdings" w:hAnsi="Wingdings" w:hint="default"/>
      </w:rPr>
    </w:lvl>
    <w:lvl w:ilvl="3" w:tplc="A75031B8">
      <w:start w:val="1"/>
      <w:numFmt w:val="bullet"/>
      <w:lvlText w:val=""/>
      <w:lvlJc w:val="left"/>
      <w:pPr>
        <w:ind w:left="2880" w:hanging="360"/>
      </w:pPr>
      <w:rPr>
        <w:rFonts w:ascii="Symbol" w:hAnsi="Symbol" w:hint="default"/>
      </w:rPr>
    </w:lvl>
    <w:lvl w:ilvl="4" w:tplc="D2F82E28">
      <w:start w:val="1"/>
      <w:numFmt w:val="bullet"/>
      <w:lvlText w:val="o"/>
      <w:lvlJc w:val="left"/>
      <w:pPr>
        <w:ind w:left="3600" w:hanging="360"/>
      </w:pPr>
      <w:rPr>
        <w:rFonts w:ascii="Courier New" w:hAnsi="Courier New" w:hint="default"/>
      </w:rPr>
    </w:lvl>
    <w:lvl w:ilvl="5" w:tplc="1284BC1E">
      <w:start w:val="1"/>
      <w:numFmt w:val="bullet"/>
      <w:lvlText w:val=""/>
      <w:lvlJc w:val="left"/>
      <w:pPr>
        <w:ind w:left="4320" w:hanging="360"/>
      </w:pPr>
      <w:rPr>
        <w:rFonts w:ascii="Wingdings" w:hAnsi="Wingdings" w:hint="default"/>
      </w:rPr>
    </w:lvl>
    <w:lvl w:ilvl="6" w:tplc="7C8CA0BE">
      <w:start w:val="1"/>
      <w:numFmt w:val="bullet"/>
      <w:lvlText w:val=""/>
      <w:lvlJc w:val="left"/>
      <w:pPr>
        <w:ind w:left="5040" w:hanging="360"/>
      </w:pPr>
      <w:rPr>
        <w:rFonts w:ascii="Symbol" w:hAnsi="Symbol" w:hint="default"/>
      </w:rPr>
    </w:lvl>
    <w:lvl w:ilvl="7" w:tplc="4A1ECB76">
      <w:start w:val="1"/>
      <w:numFmt w:val="bullet"/>
      <w:lvlText w:val="o"/>
      <w:lvlJc w:val="left"/>
      <w:pPr>
        <w:ind w:left="5760" w:hanging="360"/>
      </w:pPr>
      <w:rPr>
        <w:rFonts w:ascii="Courier New" w:hAnsi="Courier New" w:hint="default"/>
      </w:rPr>
    </w:lvl>
    <w:lvl w:ilvl="8" w:tplc="EDDE24E2">
      <w:start w:val="1"/>
      <w:numFmt w:val="bullet"/>
      <w:lvlText w:val=""/>
      <w:lvlJc w:val="left"/>
      <w:pPr>
        <w:ind w:left="6480" w:hanging="360"/>
      </w:pPr>
      <w:rPr>
        <w:rFonts w:ascii="Wingdings" w:hAnsi="Wingdings" w:hint="default"/>
      </w:rPr>
    </w:lvl>
  </w:abstractNum>
  <w:abstractNum w:abstractNumId="34" w15:restartNumberingAfterBreak="0">
    <w:nsid w:val="4685253C"/>
    <w:multiLevelType w:val="hybridMultilevel"/>
    <w:tmpl w:val="55E007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A159DE"/>
    <w:multiLevelType w:val="hybridMultilevel"/>
    <w:tmpl w:val="AF9EC4AE"/>
    <w:lvl w:ilvl="0" w:tplc="DBEA3222">
      <w:start w:val="1"/>
      <w:numFmt w:val="bullet"/>
      <w:lvlText w:val="·"/>
      <w:lvlJc w:val="left"/>
      <w:pPr>
        <w:ind w:left="720" w:hanging="360"/>
      </w:pPr>
      <w:rPr>
        <w:rFonts w:ascii="Symbol" w:hAnsi="Symbol" w:hint="default"/>
      </w:rPr>
    </w:lvl>
    <w:lvl w:ilvl="1" w:tplc="B8ECC520">
      <w:start w:val="1"/>
      <w:numFmt w:val="bullet"/>
      <w:lvlText w:val="o"/>
      <w:lvlJc w:val="left"/>
      <w:pPr>
        <w:ind w:left="1440" w:hanging="360"/>
      </w:pPr>
      <w:rPr>
        <w:rFonts w:ascii="Courier New" w:hAnsi="Courier New" w:hint="default"/>
      </w:rPr>
    </w:lvl>
    <w:lvl w:ilvl="2" w:tplc="14708952">
      <w:start w:val="1"/>
      <w:numFmt w:val="bullet"/>
      <w:lvlText w:val=""/>
      <w:lvlJc w:val="left"/>
      <w:pPr>
        <w:ind w:left="2160" w:hanging="360"/>
      </w:pPr>
      <w:rPr>
        <w:rFonts w:ascii="Wingdings" w:hAnsi="Wingdings" w:hint="default"/>
      </w:rPr>
    </w:lvl>
    <w:lvl w:ilvl="3" w:tplc="976ECDE8">
      <w:start w:val="1"/>
      <w:numFmt w:val="bullet"/>
      <w:lvlText w:val=""/>
      <w:lvlJc w:val="left"/>
      <w:pPr>
        <w:ind w:left="2880" w:hanging="360"/>
      </w:pPr>
      <w:rPr>
        <w:rFonts w:ascii="Symbol" w:hAnsi="Symbol" w:hint="default"/>
      </w:rPr>
    </w:lvl>
    <w:lvl w:ilvl="4" w:tplc="E77E6B92">
      <w:start w:val="1"/>
      <w:numFmt w:val="bullet"/>
      <w:lvlText w:val="o"/>
      <w:lvlJc w:val="left"/>
      <w:pPr>
        <w:ind w:left="3600" w:hanging="360"/>
      </w:pPr>
      <w:rPr>
        <w:rFonts w:ascii="Courier New" w:hAnsi="Courier New" w:hint="default"/>
      </w:rPr>
    </w:lvl>
    <w:lvl w:ilvl="5" w:tplc="30D85944">
      <w:start w:val="1"/>
      <w:numFmt w:val="bullet"/>
      <w:lvlText w:val=""/>
      <w:lvlJc w:val="left"/>
      <w:pPr>
        <w:ind w:left="4320" w:hanging="360"/>
      </w:pPr>
      <w:rPr>
        <w:rFonts w:ascii="Wingdings" w:hAnsi="Wingdings" w:hint="default"/>
      </w:rPr>
    </w:lvl>
    <w:lvl w:ilvl="6" w:tplc="E8328084">
      <w:start w:val="1"/>
      <w:numFmt w:val="bullet"/>
      <w:lvlText w:val=""/>
      <w:lvlJc w:val="left"/>
      <w:pPr>
        <w:ind w:left="5040" w:hanging="360"/>
      </w:pPr>
      <w:rPr>
        <w:rFonts w:ascii="Symbol" w:hAnsi="Symbol" w:hint="default"/>
      </w:rPr>
    </w:lvl>
    <w:lvl w:ilvl="7" w:tplc="E06E6874">
      <w:start w:val="1"/>
      <w:numFmt w:val="bullet"/>
      <w:lvlText w:val="o"/>
      <w:lvlJc w:val="left"/>
      <w:pPr>
        <w:ind w:left="5760" w:hanging="360"/>
      </w:pPr>
      <w:rPr>
        <w:rFonts w:ascii="Courier New" w:hAnsi="Courier New" w:hint="default"/>
      </w:rPr>
    </w:lvl>
    <w:lvl w:ilvl="8" w:tplc="81B8ED38">
      <w:start w:val="1"/>
      <w:numFmt w:val="bullet"/>
      <w:lvlText w:val=""/>
      <w:lvlJc w:val="left"/>
      <w:pPr>
        <w:ind w:left="6480" w:hanging="360"/>
      </w:pPr>
      <w:rPr>
        <w:rFonts w:ascii="Wingdings" w:hAnsi="Wingdings" w:hint="default"/>
      </w:rPr>
    </w:lvl>
  </w:abstractNum>
  <w:abstractNum w:abstractNumId="36" w15:restartNumberingAfterBreak="0">
    <w:nsid w:val="46A4528B"/>
    <w:multiLevelType w:val="hybridMultilevel"/>
    <w:tmpl w:val="099C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B95913"/>
    <w:multiLevelType w:val="hybridMultilevel"/>
    <w:tmpl w:val="ECC2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FB50B1"/>
    <w:multiLevelType w:val="hybridMultilevel"/>
    <w:tmpl w:val="C556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5E243D"/>
    <w:multiLevelType w:val="hybridMultilevel"/>
    <w:tmpl w:val="E3A6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7F6F6B"/>
    <w:multiLevelType w:val="hybridMultilevel"/>
    <w:tmpl w:val="3402A89E"/>
    <w:lvl w:ilvl="0" w:tplc="3F761DB2">
      <w:start w:val="1"/>
      <w:numFmt w:val="bullet"/>
      <w:lvlText w:val="·"/>
      <w:lvlJc w:val="left"/>
      <w:pPr>
        <w:ind w:left="720" w:hanging="360"/>
      </w:pPr>
      <w:rPr>
        <w:rFonts w:ascii="Symbol" w:hAnsi="Symbol" w:hint="default"/>
      </w:rPr>
    </w:lvl>
    <w:lvl w:ilvl="1" w:tplc="BB5E9944">
      <w:start w:val="1"/>
      <w:numFmt w:val="bullet"/>
      <w:lvlText w:val="o"/>
      <w:lvlJc w:val="left"/>
      <w:pPr>
        <w:ind w:left="1440" w:hanging="360"/>
      </w:pPr>
      <w:rPr>
        <w:rFonts w:ascii="Courier New" w:hAnsi="Courier New" w:hint="default"/>
      </w:rPr>
    </w:lvl>
    <w:lvl w:ilvl="2" w:tplc="32040DF0">
      <w:start w:val="1"/>
      <w:numFmt w:val="bullet"/>
      <w:lvlText w:val=""/>
      <w:lvlJc w:val="left"/>
      <w:pPr>
        <w:ind w:left="2160" w:hanging="360"/>
      </w:pPr>
      <w:rPr>
        <w:rFonts w:ascii="Wingdings" w:hAnsi="Wingdings" w:hint="default"/>
      </w:rPr>
    </w:lvl>
    <w:lvl w:ilvl="3" w:tplc="14266254">
      <w:start w:val="1"/>
      <w:numFmt w:val="bullet"/>
      <w:lvlText w:val=""/>
      <w:lvlJc w:val="left"/>
      <w:pPr>
        <w:ind w:left="2880" w:hanging="360"/>
      </w:pPr>
      <w:rPr>
        <w:rFonts w:ascii="Symbol" w:hAnsi="Symbol" w:hint="default"/>
      </w:rPr>
    </w:lvl>
    <w:lvl w:ilvl="4" w:tplc="9A181AB0">
      <w:start w:val="1"/>
      <w:numFmt w:val="bullet"/>
      <w:lvlText w:val="o"/>
      <w:lvlJc w:val="left"/>
      <w:pPr>
        <w:ind w:left="3600" w:hanging="360"/>
      </w:pPr>
      <w:rPr>
        <w:rFonts w:ascii="Courier New" w:hAnsi="Courier New" w:hint="default"/>
      </w:rPr>
    </w:lvl>
    <w:lvl w:ilvl="5" w:tplc="389AF9FA">
      <w:start w:val="1"/>
      <w:numFmt w:val="bullet"/>
      <w:lvlText w:val=""/>
      <w:lvlJc w:val="left"/>
      <w:pPr>
        <w:ind w:left="4320" w:hanging="360"/>
      </w:pPr>
      <w:rPr>
        <w:rFonts w:ascii="Wingdings" w:hAnsi="Wingdings" w:hint="default"/>
      </w:rPr>
    </w:lvl>
    <w:lvl w:ilvl="6" w:tplc="7FBCCC5E">
      <w:start w:val="1"/>
      <w:numFmt w:val="bullet"/>
      <w:lvlText w:val=""/>
      <w:lvlJc w:val="left"/>
      <w:pPr>
        <w:ind w:left="5040" w:hanging="360"/>
      </w:pPr>
      <w:rPr>
        <w:rFonts w:ascii="Symbol" w:hAnsi="Symbol" w:hint="default"/>
      </w:rPr>
    </w:lvl>
    <w:lvl w:ilvl="7" w:tplc="D2E40C8C">
      <w:start w:val="1"/>
      <w:numFmt w:val="bullet"/>
      <w:lvlText w:val="o"/>
      <w:lvlJc w:val="left"/>
      <w:pPr>
        <w:ind w:left="5760" w:hanging="360"/>
      </w:pPr>
      <w:rPr>
        <w:rFonts w:ascii="Courier New" w:hAnsi="Courier New" w:hint="default"/>
      </w:rPr>
    </w:lvl>
    <w:lvl w:ilvl="8" w:tplc="9CC0DD40">
      <w:start w:val="1"/>
      <w:numFmt w:val="bullet"/>
      <w:lvlText w:val=""/>
      <w:lvlJc w:val="left"/>
      <w:pPr>
        <w:ind w:left="6480" w:hanging="360"/>
      </w:pPr>
      <w:rPr>
        <w:rFonts w:ascii="Wingdings" w:hAnsi="Wingdings" w:hint="default"/>
      </w:rPr>
    </w:lvl>
  </w:abstractNum>
  <w:abstractNum w:abstractNumId="41" w15:restartNumberingAfterBreak="0">
    <w:nsid w:val="4D1D143C"/>
    <w:multiLevelType w:val="hybridMultilevel"/>
    <w:tmpl w:val="FF42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267AA9"/>
    <w:multiLevelType w:val="hybridMultilevel"/>
    <w:tmpl w:val="965A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C0117E"/>
    <w:multiLevelType w:val="hybridMultilevel"/>
    <w:tmpl w:val="CB0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4E752B"/>
    <w:multiLevelType w:val="hybridMultilevel"/>
    <w:tmpl w:val="89E45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1242BB3"/>
    <w:multiLevelType w:val="hybridMultilevel"/>
    <w:tmpl w:val="47DC1CD4"/>
    <w:lvl w:ilvl="0" w:tplc="5F7C8666">
      <w:start w:val="1"/>
      <w:numFmt w:val="bullet"/>
      <w:lvlText w:val="·"/>
      <w:lvlJc w:val="left"/>
      <w:pPr>
        <w:ind w:left="720" w:hanging="360"/>
      </w:pPr>
      <w:rPr>
        <w:rFonts w:ascii="Symbol" w:hAnsi="Symbol" w:hint="default"/>
      </w:rPr>
    </w:lvl>
    <w:lvl w:ilvl="1" w:tplc="7D08209E">
      <w:start w:val="1"/>
      <w:numFmt w:val="bullet"/>
      <w:lvlText w:val="o"/>
      <w:lvlJc w:val="left"/>
      <w:pPr>
        <w:ind w:left="1440" w:hanging="360"/>
      </w:pPr>
      <w:rPr>
        <w:rFonts w:ascii="Courier New" w:hAnsi="Courier New" w:hint="default"/>
      </w:rPr>
    </w:lvl>
    <w:lvl w:ilvl="2" w:tplc="BE7073CE">
      <w:start w:val="1"/>
      <w:numFmt w:val="bullet"/>
      <w:lvlText w:val=""/>
      <w:lvlJc w:val="left"/>
      <w:pPr>
        <w:ind w:left="2160" w:hanging="360"/>
      </w:pPr>
      <w:rPr>
        <w:rFonts w:ascii="Wingdings" w:hAnsi="Wingdings" w:hint="default"/>
      </w:rPr>
    </w:lvl>
    <w:lvl w:ilvl="3" w:tplc="FEFA571E">
      <w:start w:val="1"/>
      <w:numFmt w:val="bullet"/>
      <w:lvlText w:val=""/>
      <w:lvlJc w:val="left"/>
      <w:pPr>
        <w:ind w:left="2880" w:hanging="360"/>
      </w:pPr>
      <w:rPr>
        <w:rFonts w:ascii="Symbol" w:hAnsi="Symbol" w:hint="default"/>
      </w:rPr>
    </w:lvl>
    <w:lvl w:ilvl="4" w:tplc="B16ABE5E">
      <w:start w:val="1"/>
      <w:numFmt w:val="bullet"/>
      <w:lvlText w:val="o"/>
      <w:lvlJc w:val="left"/>
      <w:pPr>
        <w:ind w:left="3600" w:hanging="360"/>
      </w:pPr>
      <w:rPr>
        <w:rFonts w:ascii="Courier New" w:hAnsi="Courier New" w:hint="default"/>
      </w:rPr>
    </w:lvl>
    <w:lvl w:ilvl="5" w:tplc="D32AB2D4">
      <w:start w:val="1"/>
      <w:numFmt w:val="bullet"/>
      <w:lvlText w:val=""/>
      <w:lvlJc w:val="left"/>
      <w:pPr>
        <w:ind w:left="4320" w:hanging="360"/>
      </w:pPr>
      <w:rPr>
        <w:rFonts w:ascii="Wingdings" w:hAnsi="Wingdings" w:hint="default"/>
      </w:rPr>
    </w:lvl>
    <w:lvl w:ilvl="6" w:tplc="F970C456">
      <w:start w:val="1"/>
      <w:numFmt w:val="bullet"/>
      <w:lvlText w:val=""/>
      <w:lvlJc w:val="left"/>
      <w:pPr>
        <w:ind w:left="5040" w:hanging="360"/>
      </w:pPr>
      <w:rPr>
        <w:rFonts w:ascii="Symbol" w:hAnsi="Symbol" w:hint="default"/>
      </w:rPr>
    </w:lvl>
    <w:lvl w:ilvl="7" w:tplc="A44A427A">
      <w:start w:val="1"/>
      <w:numFmt w:val="bullet"/>
      <w:lvlText w:val="o"/>
      <w:lvlJc w:val="left"/>
      <w:pPr>
        <w:ind w:left="5760" w:hanging="360"/>
      </w:pPr>
      <w:rPr>
        <w:rFonts w:ascii="Courier New" w:hAnsi="Courier New" w:hint="default"/>
      </w:rPr>
    </w:lvl>
    <w:lvl w:ilvl="8" w:tplc="90CC8AD0">
      <w:start w:val="1"/>
      <w:numFmt w:val="bullet"/>
      <w:lvlText w:val=""/>
      <w:lvlJc w:val="left"/>
      <w:pPr>
        <w:ind w:left="6480" w:hanging="360"/>
      </w:pPr>
      <w:rPr>
        <w:rFonts w:ascii="Wingdings" w:hAnsi="Wingdings" w:hint="default"/>
      </w:rPr>
    </w:lvl>
  </w:abstractNum>
  <w:abstractNum w:abstractNumId="46" w15:restartNumberingAfterBreak="0">
    <w:nsid w:val="52054CA7"/>
    <w:multiLevelType w:val="hybridMultilevel"/>
    <w:tmpl w:val="AACAB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29B40BA"/>
    <w:multiLevelType w:val="hybridMultilevel"/>
    <w:tmpl w:val="B5AC24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6F79A1"/>
    <w:multiLevelType w:val="hybridMultilevel"/>
    <w:tmpl w:val="BA0CD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80D3F3F"/>
    <w:multiLevelType w:val="hybridMultilevel"/>
    <w:tmpl w:val="2EE4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8B494B"/>
    <w:multiLevelType w:val="hybridMultilevel"/>
    <w:tmpl w:val="0486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0A3CE1"/>
    <w:multiLevelType w:val="hybridMultilevel"/>
    <w:tmpl w:val="477A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0D464D"/>
    <w:multiLevelType w:val="hybridMultilevel"/>
    <w:tmpl w:val="9734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072498"/>
    <w:multiLevelType w:val="hybridMultilevel"/>
    <w:tmpl w:val="27D6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4F4E75"/>
    <w:multiLevelType w:val="hybridMultilevel"/>
    <w:tmpl w:val="4408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1E1166"/>
    <w:multiLevelType w:val="hybridMultilevel"/>
    <w:tmpl w:val="3A96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0408DB"/>
    <w:multiLevelType w:val="hybridMultilevel"/>
    <w:tmpl w:val="CB10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58" w15:restartNumberingAfterBreak="0">
    <w:nsid w:val="67270EF5"/>
    <w:multiLevelType w:val="hybridMultilevel"/>
    <w:tmpl w:val="1F8A4A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A42D86"/>
    <w:multiLevelType w:val="hybridMultilevel"/>
    <w:tmpl w:val="9C76F5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2300AC"/>
    <w:multiLevelType w:val="hybridMultilevel"/>
    <w:tmpl w:val="DBDE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2B06E3"/>
    <w:multiLevelType w:val="hybridMultilevel"/>
    <w:tmpl w:val="A62ED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6E3A7B6C"/>
    <w:multiLevelType w:val="hybridMultilevel"/>
    <w:tmpl w:val="4438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114051"/>
    <w:multiLevelType w:val="hybridMultilevel"/>
    <w:tmpl w:val="6AEEC0F4"/>
    <w:lvl w:ilvl="0" w:tplc="DF38FF06">
      <w:start w:val="1"/>
      <w:numFmt w:val="bullet"/>
      <w:lvlText w:val="·"/>
      <w:lvlJc w:val="left"/>
      <w:pPr>
        <w:ind w:left="720" w:hanging="360"/>
      </w:pPr>
      <w:rPr>
        <w:rFonts w:ascii="Symbol" w:hAnsi="Symbol" w:hint="default"/>
      </w:rPr>
    </w:lvl>
    <w:lvl w:ilvl="1" w:tplc="4720064C">
      <w:start w:val="1"/>
      <w:numFmt w:val="bullet"/>
      <w:lvlText w:val="o"/>
      <w:lvlJc w:val="left"/>
      <w:pPr>
        <w:ind w:left="1440" w:hanging="360"/>
      </w:pPr>
      <w:rPr>
        <w:rFonts w:ascii="Courier New" w:hAnsi="Courier New" w:hint="default"/>
      </w:rPr>
    </w:lvl>
    <w:lvl w:ilvl="2" w:tplc="FE4AE1A8">
      <w:start w:val="1"/>
      <w:numFmt w:val="bullet"/>
      <w:lvlText w:val=""/>
      <w:lvlJc w:val="left"/>
      <w:pPr>
        <w:ind w:left="2160" w:hanging="360"/>
      </w:pPr>
      <w:rPr>
        <w:rFonts w:ascii="Wingdings" w:hAnsi="Wingdings" w:hint="default"/>
      </w:rPr>
    </w:lvl>
    <w:lvl w:ilvl="3" w:tplc="797C19E4">
      <w:start w:val="1"/>
      <w:numFmt w:val="bullet"/>
      <w:lvlText w:val=""/>
      <w:lvlJc w:val="left"/>
      <w:pPr>
        <w:ind w:left="2880" w:hanging="360"/>
      </w:pPr>
      <w:rPr>
        <w:rFonts w:ascii="Symbol" w:hAnsi="Symbol" w:hint="default"/>
      </w:rPr>
    </w:lvl>
    <w:lvl w:ilvl="4" w:tplc="B9E2C21A">
      <w:start w:val="1"/>
      <w:numFmt w:val="bullet"/>
      <w:lvlText w:val="o"/>
      <w:lvlJc w:val="left"/>
      <w:pPr>
        <w:ind w:left="3600" w:hanging="360"/>
      </w:pPr>
      <w:rPr>
        <w:rFonts w:ascii="Courier New" w:hAnsi="Courier New" w:hint="default"/>
      </w:rPr>
    </w:lvl>
    <w:lvl w:ilvl="5" w:tplc="D3C0FDD4">
      <w:start w:val="1"/>
      <w:numFmt w:val="bullet"/>
      <w:lvlText w:val=""/>
      <w:lvlJc w:val="left"/>
      <w:pPr>
        <w:ind w:left="4320" w:hanging="360"/>
      </w:pPr>
      <w:rPr>
        <w:rFonts w:ascii="Wingdings" w:hAnsi="Wingdings" w:hint="default"/>
      </w:rPr>
    </w:lvl>
    <w:lvl w:ilvl="6" w:tplc="5C4A1496">
      <w:start w:val="1"/>
      <w:numFmt w:val="bullet"/>
      <w:lvlText w:val=""/>
      <w:lvlJc w:val="left"/>
      <w:pPr>
        <w:ind w:left="5040" w:hanging="360"/>
      </w:pPr>
      <w:rPr>
        <w:rFonts w:ascii="Symbol" w:hAnsi="Symbol" w:hint="default"/>
      </w:rPr>
    </w:lvl>
    <w:lvl w:ilvl="7" w:tplc="14A6882C">
      <w:start w:val="1"/>
      <w:numFmt w:val="bullet"/>
      <w:lvlText w:val="o"/>
      <w:lvlJc w:val="left"/>
      <w:pPr>
        <w:ind w:left="5760" w:hanging="360"/>
      </w:pPr>
      <w:rPr>
        <w:rFonts w:ascii="Courier New" w:hAnsi="Courier New" w:hint="default"/>
      </w:rPr>
    </w:lvl>
    <w:lvl w:ilvl="8" w:tplc="A5483C80">
      <w:start w:val="1"/>
      <w:numFmt w:val="bullet"/>
      <w:lvlText w:val=""/>
      <w:lvlJc w:val="left"/>
      <w:pPr>
        <w:ind w:left="6480" w:hanging="360"/>
      </w:pPr>
      <w:rPr>
        <w:rFonts w:ascii="Wingdings" w:hAnsi="Wingdings" w:hint="default"/>
      </w:rPr>
    </w:lvl>
  </w:abstractNum>
  <w:abstractNum w:abstractNumId="64" w15:restartNumberingAfterBreak="0">
    <w:nsid w:val="71760EEF"/>
    <w:multiLevelType w:val="hybridMultilevel"/>
    <w:tmpl w:val="1708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9F3AEC"/>
    <w:multiLevelType w:val="hybridMultilevel"/>
    <w:tmpl w:val="4F00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D30275"/>
    <w:multiLevelType w:val="hybridMultilevel"/>
    <w:tmpl w:val="F62EEA1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7" w15:restartNumberingAfterBreak="0">
    <w:nsid w:val="7A0430CB"/>
    <w:multiLevelType w:val="hybridMultilevel"/>
    <w:tmpl w:val="FC52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38210D"/>
    <w:multiLevelType w:val="hybridMultilevel"/>
    <w:tmpl w:val="6B20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AB5A74"/>
    <w:multiLevelType w:val="hybridMultilevel"/>
    <w:tmpl w:val="BEBE0C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F44DBE"/>
    <w:multiLevelType w:val="hybridMultilevel"/>
    <w:tmpl w:val="652A59CA"/>
    <w:lvl w:ilvl="0" w:tplc="0809000B">
      <w:start w:val="1"/>
      <w:numFmt w:val="bullet"/>
      <w:lvlText w:val=""/>
      <w:lvlJc w:val="left"/>
      <w:pPr>
        <w:ind w:left="1080" w:hanging="360"/>
      </w:pPr>
      <w:rPr>
        <w:rFonts w:ascii="Wingdings" w:hAnsi="Wingdings" w:hint="default"/>
      </w:rPr>
    </w:lvl>
    <w:lvl w:ilvl="1" w:tplc="19669FFC">
      <w:start w:val="1"/>
      <w:numFmt w:val="bullet"/>
      <w:lvlText w:val="o"/>
      <w:lvlJc w:val="left"/>
      <w:pPr>
        <w:ind w:left="1800" w:hanging="360"/>
      </w:pPr>
      <w:rPr>
        <w:rFonts w:ascii="Courier New" w:hAnsi="Courier New" w:hint="default"/>
      </w:rPr>
    </w:lvl>
    <w:lvl w:ilvl="2" w:tplc="F458964E">
      <w:start w:val="1"/>
      <w:numFmt w:val="bullet"/>
      <w:lvlText w:val=""/>
      <w:lvlJc w:val="left"/>
      <w:pPr>
        <w:ind w:left="2520" w:hanging="360"/>
      </w:pPr>
      <w:rPr>
        <w:rFonts w:ascii="Wingdings" w:hAnsi="Wingdings" w:hint="default"/>
      </w:rPr>
    </w:lvl>
    <w:lvl w:ilvl="3" w:tplc="9182C680">
      <w:start w:val="1"/>
      <w:numFmt w:val="bullet"/>
      <w:lvlText w:val=""/>
      <w:lvlJc w:val="left"/>
      <w:pPr>
        <w:ind w:left="3240" w:hanging="360"/>
      </w:pPr>
      <w:rPr>
        <w:rFonts w:ascii="Symbol" w:hAnsi="Symbol" w:hint="default"/>
      </w:rPr>
    </w:lvl>
    <w:lvl w:ilvl="4" w:tplc="C5DAF686">
      <w:start w:val="1"/>
      <w:numFmt w:val="bullet"/>
      <w:lvlText w:val="o"/>
      <w:lvlJc w:val="left"/>
      <w:pPr>
        <w:ind w:left="3960" w:hanging="360"/>
      </w:pPr>
      <w:rPr>
        <w:rFonts w:ascii="Courier New" w:hAnsi="Courier New" w:hint="default"/>
      </w:rPr>
    </w:lvl>
    <w:lvl w:ilvl="5" w:tplc="F5E85DBE">
      <w:start w:val="1"/>
      <w:numFmt w:val="bullet"/>
      <w:lvlText w:val=""/>
      <w:lvlJc w:val="left"/>
      <w:pPr>
        <w:ind w:left="4680" w:hanging="360"/>
      </w:pPr>
      <w:rPr>
        <w:rFonts w:ascii="Wingdings" w:hAnsi="Wingdings" w:hint="default"/>
      </w:rPr>
    </w:lvl>
    <w:lvl w:ilvl="6" w:tplc="94DE99B2">
      <w:start w:val="1"/>
      <w:numFmt w:val="bullet"/>
      <w:lvlText w:val=""/>
      <w:lvlJc w:val="left"/>
      <w:pPr>
        <w:ind w:left="5400" w:hanging="360"/>
      </w:pPr>
      <w:rPr>
        <w:rFonts w:ascii="Symbol" w:hAnsi="Symbol" w:hint="default"/>
      </w:rPr>
    </w:lvl>
    <w:lvl w:ilvl="7" w:tplc="A81CB09E">
      <w:start w:val="1"/>
      <w:numFmt w:val="bullet"/>
      <w:lvlText w:val="o"/>
      <w:lvlJc w:val="left"/>
      <w:pPr>
        <w:ind w:left="6120" w:hanging="360"/>
      </w:pPr>
      <w:rPr>
        <w:rFonts w:ascii="Courier New" w:hAnsi="Courier New" w:hint="default"/>
      </w:rPr>
    </w:lvl>
    <w:lvl w:ilvl="8" w:tplc="43384BC2">
      <w:start w:val="1"/>
      <w:numFmt w:val="bullet"/>
      <w:lvlText w:val=""/>
      <w:lvlJc w:val="left"/>
      <w:pPr>
        <w:ind w:left="6840" w:hanging="360"/>
      </w:pPr>
      <w:rPr>
        <w:rFonts w:ascii="Wingdings" w:hAnsi="Wingdings" w:hint="default"/>
      </w:rPr>
    </w:lvl>
  </w:abstractNum>
  <w:abstractNum w:abstractNumId="71" w15:restartNumberingAfterBreak="0">
    <w:nsid w:val="7E073325"/>
    <w:multiLevelType w:val="hybridMultilevel"/>
    <w:tmpl w:val="81922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4E2DA7"/>
    <w:multiLevelType w:val="hybridMultilevel"/>
    <w:tmpl w:val="B070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7"/>
  </w:num>
  <w:num w:numId="3">
    <w:abstractNumId w:val="0"/>
  </w:num>
  <w:num w:numId="4">
    <w:abstractNumId w:val="7"/>
  </w:num>
  <w:num w:numId="5">
    <w:abstractNumId w:val="1"/>
  </w:num>
  <w:num w:numId="6">
    <w:abstractNumId w:val="44"/>
  </w:num>
  <w:num w:numId="7">
    <w:abstractNumId w:val="18"/>
  </w:num>
  <w:num w:numId="8">
    <w:abstractNumId w:val="24"/>
  </w:num>
  <w:num w:numId="9">
    <w:abstractNumId w:val="36"/>
  </w:num>
  <w:num w:numId="10">
    <w:abstractNumId w:val="56"/>
  </w:num>
  <w:num w:numId="11">
    <w:abstractNumId w:val="22"/>
  </w:num>
  <w:num w:numId="12">
    <w:abstractNumId w:val="39"/>
  </w:num>
  <w:num w:numId="13">
    <w:abstractNumId w:val="59"/>
  </w:num>
  <w:num w:numId="14">
    <w:abstractNumId w:val="41"/>
  </w:num>
  <w:num w:numId="15">
    <w:abstractNumId w:val="9"/>
  </w:num>
  <w:num w:numId="16">
    <w:abstractNumId w:val="68"/>
  </w:num>
  <w:num w:numId="17">
    <w:abstractNumId w:val="16"/>
  </w:num>
  <w:num w:numId="18">
    <w:abstractNumId w:val="21"/>
  </w:num>
  <w:num w:numId="19">
    <w:abstractNumId w:val="10"/>
  </w:num>
  <w:num w:numId="20">
    <w:abstractNumId w:val="38"/>
  </w:num>
  <w:num w:numId="21">
    <w:abstractNumId w:val="50"/>
  </w:num>
  <w:num w:numId="22">
    <w:abstractNumId w:val="64"/>
  </w:num>
  <w:num w:numId="23">
    <w:abstractNumId w:val="19"/>
  </w:num>
  <w:num w:numId="24">
    <w:abstractNumId w:val="28"/>
  </w:num>
  <w:num w:numId="25">
    <w:abstractNumId w:val="46"/>
  </w:num>
  <w:num w:numId="26">
    <w:abstractNumId w:val="71"/>
  </w:num>
  <w:num w:numId="27">
    <w:abstractNumId w:val="15"/>
  </w:num>
  <w:num w:numId="28">
    <w:abstractNumId w:val="45"/>
  </w:num>
  <w:num w:numId="29">
    <w:abstractNumId w:val="63"/>
  </w:num>
  <w:num w:numId="30">
    <w:abstractNumId w:val="33"/>
  </w:num>
  <w:num w:numId="31">
    <w:abstractNumId w:val="20"/>
  </w:num>
  <w:num w:numId="32">
    <w:abstractNumId w:val="40"/>
  </w:num>
  <w:num w:numId="33">
    <w:abstractNumId w:val="35"/>
  </w:num>
  <w:num w:numId="34">
    <w:abstractNumId w:val="4"/>
  </w:num>
  <w:num w:numId="35">
    <w:abstractNumId w:val="14"/>
  </w:num>
  <w:num w:numId="36">
    <w:abstractNumId w:val="11"/>
  </w:num>
  <w:num w:numId="37">
    <w:abstractNumId w:val="25"/>
  </w:num>
  <w:num w:numId="38">
    <w:abstractNumId w:val="72"/>
  </w:num>
  <w:num w:numId="39">
    <w:abstractNumId w:val="6"/>
  </w:num>
  <w:num w:numId="40">
    <w:abstractNumId w:val="12"/>
  </w:num>
  <w:num w:numId="41">
    <w:abstractNumId w:val="52"/>
  </w:num>
  <w:num w:numId="42">
    <w:abstractNumId w:val="51"/>
  </w:num>
  <w:num w:numId="43">
    <w:abstractNumId w:val="65"/>
  </w:num>
  <w:num w:numId="44">
    <w:abstractNumId w:val="30"/>
  </w:num>
  <w:num w:numId="45">
    <w:abstractNumId w:val="23"/>
  </w:num>
  <w:num w:numId="46">
    <w:abstractNumId w:val="53"/>
  </w:num>
  <w:num w:numId="47">
    <w:abstractNumId w:val="66"/>
  </w:num>
  <w:num w:numId="48">
    <w:abstractNumId w:val="54"/>
  </w:num>
  <w:num w:numId="49">
    <w:abstractNumId w:val="2"/>
  </w:num>
  <w:num w:numId="50">
    <w:abstractNumId w:val="31"/>
  </w:num>
  <w:num w:numId="51">
    <w:abstractNumId w:val="27"/>
  </w:num>
  <w:num w:numId="52">
    <w:abstractNumId w:val="61"/>
  </w:num>
  <w:num w:numId="53">
    <w:abstractNumId w:val="48"/>
  </w:num>
  <w:num w:numId="54">
    <w:abstractNumId w:val="55"/>
  </w:num>
  <w:num w:numId="55">
    <w:abstractNumId w:val="42"/>
  </w:num>
  <w:num w:numId="56">
    <w:abstractNumId w:val="62"/>
  </w:num>
  <w:num w:numId="57">
    <w:abstractNumId w:val="49"/>
  </w:num>
  <w:num w:numId="58">
    <w:abstractNumId w:val="3"/>
  </w:num>
  <w:num w:numId="59">
    <w:abstractNumId w:val="8"/>
  </w:num>
  <w:num w:numId="60">
    <w:abstractNumId w:val="13"/>
  </w:num>
  <w:num w:numId="61">
    <w:abstractNumId w:val="67"/>
  </w:num>
  <w:num w:numId="62">
    <w:abstractNumId w:val="43"/>
  </w:num>
  <w:num w:numId="63">
    <w:abstractNumId w:val="29"/>
  </w:num>
  <w:num w:numId="64">
    <w:abstractNumId w:val="32"/>
  </w:num>
  <w:num w:numId="65">
    <w:abstractNumId w:val="34"/>
  </w:num>
  <w:num w:numId="66">
    <w:abstractNumId w:val="58"/>
  </w:num>
  <w:num w:numId="67">
    <w:abstractNumId w:val="47"/>
  </w:num>
  <w:num w:numId="68">
    <w:abstractNumId w:val="17"/>
  </w:num>
  <w:num w:numId="69">
    <w:abstractNumId w:val="69"/>
  </w:num>
  <w:num w:numId="70">
    <w:abstractNumId w:val="26"/>
  </w:num>
  <w:num w:numId="71">
    <w:abstractNumId w:val="37"/>
  </w:num>
  <w:num w:numId="72">
    <w:abstractNumId w:val="5"/>
  </w:num>
  <w:num w:numId="73">
    <w:abstractNumId w:val="70"/>
  </w:num>
  <w:num w:numId="74">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BB"/>
    <w:rsid w:val="00001402"/>
    <w:rsid w:val="00001651"/>
    <w:rsid w:val="000016D8"/>
    <w:rsid w:val="000101EE"/>
    <w:rsid w:val="00027C27"/>
    <w:rsid w:val="00051E39"/>
    <w:rsid w:val="000573AD"/>
    <w:rsid w:val="000578BB"/>
    <w:rsid w:val="00086D2E"/>
    <w:rsid w:val="000A6636"/>
    <w:rsid w:val="000C0CF4"/>
    <w:rsid w:val="000C6DC8"/>
    <w:rsid w:val="000D6A12"/>
    <w:rsid w:val="000D7B20"/>
    <w:rsid w:val="000E6D33"/>
    <w:rsid w:val="001306FA"/>
    <w:rsid w:val="00137570"/>
    <w:rsid w:val="001444A8"/>
    <w:rsid w:val="00151C28"/>
    <w:rsid w:val="00167D7F"/>
    <w:rsid w:val="00174BF2"/>
    <w:rsid w:val="00187562"/>
    <w:rsid w:val="00195E65"/>
    <w:rsid w:val="001974C4"/>
    <w:rsid w:val="001C5E44"/>
    <w:rsid w:val="001E125B"/>
    <w:rsid w:val="00225C4C"/>
    <w:rsid w:val="00244B54"/>
    <w:rsid w:val="00244F85"/>
    <w:rsid w:val="0024508D"/>
    <w:rsid w:val="00250B39"/>
    <w:rsid w:val="002743F8"/>
    <w:rsid w:val="00281579"/>
    <w:rsid w:val="00283CAC"/>
    <w:rsid w:val="002A0464"/>
    <w:rsid w:val="002C1B91"/>
    <w:rsid w:val="002F2BA7"/>
    <w:rsid w:val="00306C61"/>
    <w:rsid w:val="00311E22"/>
    <w:rsid w:val="00320DAD"/>
    <w:rsid w:val="00326343"/>
    <w:rsid w:val="00327E15"/>
    <w:rsid w:val="00327F91"/>
    <w:rsid w:val="00330918"/>
    <w:rsid w:val="003569AD"/>
    <w:rsid w:val="00366A9A"/>
    <w:rsid w:val="0037582B"/>
    <w:rsid w:val="00376610"/>
    <w:rsid w:val="003C2011"/>
    <w:rsid w:val="003C7214"/>
    <w:rsid w:val="003D43D0"/>
    <w:rsid w:val="003F1909"/>
    <w:rsid w:val="004068F8"/>
    <w:rsid w:val="0042796A"/>
    <w:rsid w:val="00430FFE"/>
    <w:rsid w:val="00431AF1"/>
    <w:rsid w:val="00441FE4"/>
    <w:rsid w:val="00454AC5"/>
    <w:rsid w:val="0047535E"/>
    <w:rsid w:val="00481681"/>
    <w:rsid w:val="00483C0E"/>
    <w:rsid w:val="00487DD6"/>
    <w:rsid w:val="004A002C"/>
    <w:rsid w:val="004A50D2"/>
    <w:rsid w:val="004B1B68"/>
    <w:rsid w:val="004B65A5"/>
    <w:rsid w:val="004E2A04"/>
    <w:rsid w:val="004F3D88"/>
    <w:rsid w:val="0051431F"/>
    <w:rsid w:val="00536501"/>
    <w:rsid w:val="00542384"/>
    <w:rsid w:val="00544291"/>
    <w:rsid w:val="00544D1F"/>
    <w:rsid w:val="00566F5D"/>
    <w:rsid w:val="00567A88"/>
    <w:rsid w:val="00592151"/>
    <w:rsid w:val="005A1F75"/>
    <w:rsid w:val="005B181F"/>
    <w:rsid w:val="005C02F4"/>
    <w:rsid w:val="005C0460"/>
    <w:rsid w:val="005D3DA7"/>
    <w:rsid w:val="005F2797"/>
    <w:rsid w:val="00613D0A"/>
    <w:rsid w:val="00620D5E"/>
    <w:rsid w:val="00624379"/>
    <w:rsid w:val="00632D5B"/>
    <w:rsid w:val="006416F3"/>
    <w:rsid w:val="00643EF1"/>
    <w:rsid w:val="00673015"/>
    <w:rsid w:val="00680EF4"/>
    <w:rsid w:val="006C7863"/>
    <w:rsid w:val="006D1CBB"/>
    <w:rsid w:val="006E0713"/>
    <w:rsid w:val="006E7023"/>
    <w:rsid w:val="007330D6"/>
    <w:rsid w:val="00741700"/>
    <w:rsid w:val="007508BC"/>
    <w:rsid w:val="0075793E"/>
    <w:rsid w:val="007A38D2"/>
    <w:rsid w:val="007B051C"/>
    <w:rsid w:val="007C12B9"/>
    <w:rsid w:val="007C4D5E"/>
    <w:rsid w:val="007D575D"/>
    <w:rsid w:val="007E1DC0"/>
    <w:rsid w:val="007E1F90"/>
    <w:rsid w:val="007E635D"/>
    <w:rsid w:val="007E72AB"/>
    <w:rsid w:val="007F09C0"/>
    <w:rsid w:val="007F555D"/>
    <w:rsid w:val="00811A46"/>
    <w:rsid w:val="00811D38"/>
    <w:rsid w:val="00826BCF"/>
    <w:rsid w:val="008274F8"/>
    <w:rsid w:val="00830B68"/>
    <w:rsid w:val="008311CD"/>
    <w:rsid w:val="008447AA"/>
    <w:rsid w:val="00852605"/>
    <w:rsid w:val="00855CDD"/>
    <w:rsid w:val="00855EF2"/>
    <w:rsid w:val="00857548"/>
    <w:rsid w:val="00865E27"/>
    <w:rsid w:val="00881B84"/>
    <w:rsid w:val="00882EB6"/>
    <w:rsid w:val="008A629A"/>
    <w:rsid w:val="008C318A"/>
    <w:rsid w:val="008E2E0E"/>
    <w:rsid w:val="008E3B7E"/>
    <w:rsid w:val="008E64ED"/>
    <w:rsid w:val="008F72EC"/>
    <w:rsid w:val="0090516F"/>
    <w:rsid w:val="00920B60"/>
    <w:rsid w:val="00940A49"/>
    <w:rsid w:val="00940C21"/>
    <w:rsid w:val="00963485"/>
    <w:rsid w:val="00973FB0"/>
    <w:rsid w:val="00982B01"/>
    <w:rsid w:val="009A2564"/>
    <w:rsid w:val="009A7D96"/>
    <w:rsid w:val="009B05EE"/>
    <w:rsid w:val="009B7615"/>
    <w:rsid w:val="009D6997"/>
    <w:rsid w:val="009F78B3"/>
    <w:rsid w:val="00A04479"/>
    <w:rsid w:val="00A07040"/>
    <w:rsid w:val="00A161FB"/>
    <w:rsid w:val="00A2385B"/>
    <w:rsid w:val="00A262B1"/>
    <w:rsid w:val="00A71599"/>
    <w:rsid w:val="00A834F0"/>
    <w:rsid w:val="00A94B34"/>
    <w:rsid w:val="00AB2AF7"/>
    <w:rsid w:val="00AC50A6"/>
    <w:rsid w:val="00AC5676"/>
    <w:rsid w:val="00AE5860"/>
    <w:rsid w:val="00AF5259"/>
    <w:rsid w:val="00AF6218"/>
    <w:rsid w:val="00B02B3D"/>
    <w:rsid w:val="00B057EF"/>
    <w:rsid w:val="00B3151B"/>
    <w:rsid w:val="00B51BDC"/>
    <w:rsid w:val="00B561C0"/>
    <w:rsid w:val="00B66FB7"/>
    <w:rsid w:val="00B717F1"/>
    <w:rsid w:val="00B773CE"/>
    <w:rsid w:val="00B93799"/>
    <w:rsid w:val="00BB2B3C"/>
    <w:rsid w:val="00BD57A2"/>
    <w:rsid w:val="00BF3661"/>
    <w:rsid w:val="00BF4A75"/>
    <w:rsid w:val="00C030FE"/>
    <w:rsid w:val="00C2413E"/>
    <w:rsid w:val="00C44601"/>
    <w:rsid w:val="00C73B77"/>
    <w:rsid w:val="00C91823"/>
    <w:rsid w:val="00CB61FD"/>
    <w:rsid w:val="00CC243B"/>
    <w:rsid w:val="00CC3BEB"/>
    <w:rsid w:val="00CD05D9"/>
    <w:rsid w:val="00CD1076"/>
    <w:rsid w:val="00CD1767"/>
    <w:rsid w:val="00CD1D98"/>
    <w:rsid w:val="00CD7BD8"/>
    <w:rsid w:val="00CE4B2F"/>
    <w:rsid w:val="00D008AB"/>
    <w:rsid w:val="00D03EEE"/>
    <w:rsid w:val="00D36447"/>
    <w:rsid w:val="00D37120"/>
    <w:rsid w:val="00D37139"/>
    <w:rsid w:val="00D3734B"/>
    <w:rsid w:val="00D457B1"/>
    <w:rsid w:val="00D463EF"/>
    <w:rsid w:val="00D777FF"/>
    <w:rsid w:val="00DB0FDF"/>
    <w:rsid w:val="00DB6F18"/>
    <w:rsid w:val="00DE224E"/>
    <w:rsid w:val="00DE28B3"/>
    <w:rsid w:val="00DF0D86"/>
    <w:rsid w:val="00E039FE"/>
    <w:rsid w:val="00E10EEF"/>
    <w:rsid w:val="00E372E4"/>
    <w:rsid w:val="00E859F8"/>
    <w:rsid w:val="00EA0053"/>
    <w:rsid w:val="00EA2F17"/>
    <w:rsid w:val="00EC436A"/>
    <w:rsid w:val="00ED207F"/>
    <w:rsid w:val="00F114A4"/>
    <w:rsid w:val="00F12178"/>
    <w:rsid w:val="00F126B9"/>
    <w:rsid w:val="00F131AD"/>
    <w:rsid w:val="00F33C22"/>
    <w:rsid w:val="00F56804"/>
    <w:rsid w:val="00F615DC"/>
    <w:rsid w:val="00F638FD"/>
    <w:rsid w:val="00FA4BC1"/>
    <w:rsid w:val="00FA7357"/>
    <w:rsid w:val="00FB2D5C"/>
    <w:rsid w:val="00FC1578"/>
    <w:rsid w:val="00FC16C7"/>
    <w:rsid w:val="00FD6267"/>
    <w:rsid w:val="00FD7649"/>
    <w:rsid w:val="00FE5DEF"/>
    <w:rsid w:val="00FF0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154D"/>
  <w15:chartTrackingRefBased/>
  <w15:docId w15:val="{E28D973E-FED4-47AF-BC1A-D4DDF255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291"/>
    <w:pPr>
      <w:spacing w:before="100" w:beforeAutospacing="1" w:after="100" w:afterAutospacing="1" w:line="360" w:lineRule="auto"/>
    </w:pPr>
    <w:rPr>
      <w:rFonts w:ascii="Arial" w:hAnsi="Arial" w:cs="Times New Roman"/>
      <w:sz w:val="24"/>
      <w:szCs w:val="20"/>
    </w:rPr>
  </w:style>
  <w:style w:type="paragraph" w:styleId="Heading1">
    <w:name w:val="heading 1"/>
    <w:basedOn w:val="Normal"/>
    <w:next w:val="Normal"/>
    <w:link w:val="Heading1Char"/>
    <w:qFormat/>
    <w:rsid w:val="00544291"/>
    <w:pPr>
      <w:outlineLvl w:val="0"/>
    </w:pPr>
    <w:rPr>
      <w:b/>
      <w:color w:val="1F4E79" w:themeColor="accent1" w:themeShade="80"/>
      <w:kern w:val="24"/>
      <w:sz w:val="32"/>
    </w:rPr>
  </w:style>
  <w:style w:type="paragraph" w:styleId="Heading2">
    <w:name w:val="heading 2"/>
    <w:basedOn w:val="Normal"/>
    <w:next w:val="Normal"/>
    <w:link w:val="Heading2Char"/>
    <w:qFormat/>
    <w:rsid w:val="00544291"/>
    <w:pPr>
      <w:outlineLvl w:val="1"/>
    </w:pPr>
    <w:rPr>
      <w:b/>
      <w:color w:val="1F4E79" w:themeColor="accent1" w:themeShade="80"/>
      <w:kern w:val="24"/>
      <w:sz w:val="28"/>
    </w:rPr>
  </w:style>
  <w:style w:type="paragraph" w:styleId="Heading3">
    <w:name w:val="heading 3"/>
    <w:basedOn w:val="Normal"/>
    <w:next w:val="Normal"/>
    <w:link w:val="Heading3Char"/>
    <w:uiPriority w:val="9"/>
    <w:qFormat/>
    <w:rsid w:val="00544291"/>
    <w:pPr>
      <w:outlineLvl w:val="2"/>
    </w:pPr>
    <w:rPr>
      <w:b/>
      <w:color w:val="1F4E79" w:themeColor="accent1" w:themeShade="8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2"/>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basedOn w:val="DefaultParagraphFont"/>
    <w:link w:val="Heading1"/>
    <w:rsid w:val="00544291"/>
    <w:rPr>
      <w:rFonts w:ascii="Arial" w:hAnsi="Arial" w:cs="Times New Roman"/>
      <w:b/>
      <w:color w:val="1F4E79" w:themeColor="accent1" w:themeShade="80"/>
      <w:kern w:val="24"/>
      <w:sz w:val="32"/>
      <w:szCs w:val="20"/>
    </w:rPr>
  </w:style>
  <w:style w:type="character" w:customStyle="1" w:styleId="Heading2Char">
    <w:name w:val="Heading 2 Char"/>
    <w:basedOn w:val="DefaultParagraphFont"/>
    <w:link w:val="Heading2"/>
    <w:rsid w:val="00544291"/>
    <w:rPr>
      <w:rFonts w:ascii="Arial" w:hAnsi="Arial" w:cs="Times New Roman"/>
      <w:b/>
      <w:color w:val="1F4E79" w:themeColor="accent1" w:themeShade="80"/>
      <w:kern w:val="24"/>
      <w:sz w:val="28"/>
      <w:szCs w:val="20"/>
    </w:rPr>
  </w:style>
  <w:style w:type="character" w:customStyle="1" w:styleId="Heading3Char">
    <w:name w:val="Heading 3 Char"/>
    <w:basedOn w:val="DefaultParagraphFont"/>
    <w:link w:val="Heading3"/>
    <w:uiPriority w:val="9"/>
    <w:rsid w:val="00544291"/>
    <w:rPr>
      <w:rFonts w:ascii="Arial" w:hAnsi="Arial" w:cs="Times New Roman"/>
      <w:b/>
      <w:color w:val="1F4E79" w:themeColor="accent1" w:themeShade="80"/>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D1CBB"/>
    <w:pPr>
      <w:ind w:left="720"/>
      <w:contextualSpacing/>
    </w:pPr>
  </w:style>
  <w:style w:type="table" w:styleId="TableGrid">
    <w:name w:val="Table Grid"/>
    <w:basedOn w:val="TableNormal"/>
    <w:uiPriority w:val="39"/>
    <w:rsid w:val="003F19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93799"/>
    <w:rPr>
      <w:color w:val="0000FF"/>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D7B20"/>
    <w:rPr>
      <w:rFonts w:ascii="Arial" w:hAnsi="Arial" w:cs="Times New Roman"/>
      <w:sz w:val="24"/>
      <w:szCs w:val="20"/>
    </w:rPr>
  </w:style>
  <w:style w:type="table" w:customStyle="1" w:styleId="TableGrid1">
    <w:name w:val="Table Grid1"/>
    <w:basedOn w:val="TableNormal"/>
    <w:next w:val="TableGrid"/>
    <w:uiPriority w:val="39"/>
    <w:rsid w:val="00AB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16D8"/>
    <w:rPr>
      <w:sz w:val="16"/>
      <w:szCs w:val="16"/>
    </w:rPr>
  </w:style>
  <w:style w:type="paragraph" w:styleId="CommentText">
    <w:name w:val="annotation text"/>
    <w:basedOn w:val="Normal"/>
    <w:link w:val="CommentTextChar"/>
    <w:uiPriority w:val="99"/>
    <w:unhideWhenUsed/>
    <w:rsid w:val="000016D8"/>
    <w:rPr>
      <w:sz w:val="20"/>
    </w:rPr>
  </w:style>
  <w:style w:type="character" w:customStyle="1" w:styleId="CommentTextChar">
    <w:name w:val="Comment Text Char"/>
    <w:basedOn w:val="DefaultParagraphFont"/>
    <w:link w:val="CommentText"/>
    <w:uiPriority w:val="99"/>
    <w:rsid w:val="000016D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0016D8"/>
    <w:rPr>
      <w:b/>
      <w:bCs/>
    </w:rPr>
  </w:style>
  <w:style w:type="character" w:customStyle="1" w:styleId="CommentSubjectChar">
    <w:name w:val="Comment Subject Char"/>
    <w:basedOn w:val="CommentTextChar"/>
    <w:link w:val="CommentSubject"/>
    <w:uiPriority w:val="99"/>
    <w:semiHidden/>
    <w:rsid w:val="000016D8"/>
    <w:rPr>
      <w:rFonts w:ascii="Arial" w:hAnsi="Arial" w:cs="Times New Roman"/>
      <w:b/>
      <w:bCs/>
      <w:sz w:val="20"/>
      <w:szCs w:val="20"/>
    </w:rPr>
  </w:style>
  <w:style w:type="paragraph" w:styleId="BalloonText">
    <w:name w:val="Balloon Text"/>
    <w:basedOn w:val="Normal"/>
    <w:link w:val="BalloonTextChar"/>
    <w:uiPriority w:val="99"/>
    <w:semiHidden/>
    <w:unhideWhenUsed/>
    <w:rsid w:val="00001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6D8"/>
    <w:rPr>
      <w:rFonts w:ascii="Segoe UI" w:hAnsi="Segoe UI" w:cs="Segoe UI"/>
      <w:sz w:val="18"/>
      <w:szCs w:val="18"/>
    </w:rPr>
  </w:style>
  <w:style w:type="paragraph" w:styleId="Revision">
    <w:name w:val="Revision"/>
    <w:hidden/>
    <w:uiPriority w:val="99"/>
    <w:semiHidden/>
    <w:rsid w:val="004A50D2"/>
    <w:rPr>
      <w:rFonts w:ascii="Arial" w:hAnsi="Arial" w:cs="Times New Roman"/>
      <w:sz w:val="24"/>
      <w:szCs w:val="20"/>
    </w:rPr>
  </w:style>
  <w:style w:type="character" w:styleId="FootnoteReference">
    <w:name w:val="footnote reference"/>
    <w:basedOn w:val="DefaultParagraphFont"/>
    <w:uiPriority w:val="99"/>
    <w:semiHidden/>
    <w:unhideWhenUsed/>
    <w:rsid w:val="005F2797"/>
    <w:rPr>
      <w:vertAlign w:val="superscript"/>
    </w:rPr>
  </w:style>
  <w:style w:type="character" w:customStyle="1" w:styleId="FootnoteTextChar">
    <w:name w:val="Footnote Text Char"/>
    <w:basedOn w:val="DefaultParagraphFont"/>
    <w:link w:val="FootnoteText"/>
    <w:uiPriority w:val="99"/>
    <w:semiHidden/>
    <w:rsid w:val="005F2797"/>
    <w:rPr>
      <w:sz w:val="20"/>
      <w:szCs w:val="20"/>
    </w:rPr>
  </w:style>
  <w:style w:type="paragraph" w:styleId="FootnoteText">
    <w:name w:val="footnote text"/>
    <w:basedOn w:val="Normal"/>
    <w:link w:val="FootnoteTextChar"/>
    <w:uiPriority w:val="99"/>
    <w:semiHidden/>
    <w:unhideWhenUsed/>
    <w:rsid w:val="005F2797"/>
    <w:rPr>
      <w:rFonts w:asciiTheme="minorHAnsi" w:hAnsiTheme="minorHAnsi" w:cstheme="minorBidi"/>
      <w:sz w:val="20"/>
    </w:rPr>
  </w:style>
  <w:style w:type="character" w:customStyle="1" w:styleId="FootnoteTextChar1">
    <w:name w:val="Footnote Text Char1"/>
    <w:basedOn w:val="DefaultParagraphFont"/>
    <w:uiPriority w:val="99"/>
    <w:semiHidden/>
    <w:rsid w:val="005F2797"/>
    <w:rPr>
      <w:rFonts w:ascii="Arial" w:hAnsi="Arial" w:cs="Times New Roman"/>
      <w:sz w:val="20"/>
      <w:szCs w:val="20"/>
    </w:rPr>
  </w:style>
  <w:style w:type="paragraph" w:styleId="TOC2">
    <w:name w:val="toc 2"/>
    <w:basedOn w:val="Normal"/>
    <w:next w:val="Normal"/>
    <w:autoRedefine/>
    <w:uiPriority w:val="39"/>
    <w:unhideWhenUsed/>
    <w:rsid w:val="000C6DC8"/>
    <w:pPr>
      <w:ind w:left="240"/>
    </w:pPr>
  </w:style>
  <w:style w:type="paragraph" w:styleId="TOC1">
    <w:name w:val="toc 1"/>
    <w:basedOn w:val="Normal"/>
    <w:next w:val="Normal"/>
    <w:autoRedefine/>
    <w:uiPriority w:val="39"/>
    <w:unhideWhenUsed/>
    <w:rsid w:val="000C6DC8"/>
  </w:style>
  <w:style w:type="paragraph" w:styleId="TOC3">
    <w:name w:val="toc 3"/>
    <w:basedOn w:val="Normal"/>
    <w:next w:val="Normal"/>
    <w:autoRedefine/>
    <w:uiPriority w:val="39"/>
    <w:unhideWhenUsed/>
    <w:rsid w:val="000C6DC8"/>
    <w:pPr>
      <w:ind w:left="480"/>
    </w:pPr>
  </w:style>
  <w:style w:type="paragraph" w:styleId="TOCHeading">
    <w:name w:val="TOC Heading"/>
    <w:basedOn w:val="Heading1"/>
    <w:next w:val="Normal"/>
    <w:uiPriority w:val="39"/>
    <w:unhideWhenUsed/>
    <w:qFormat/>
    <w:rsid w:val="000C6DC8"/>
    <w:pPr>
      <w:keepNext/>
      <w:keepLines/>
      <w:spacing w:before="240" w:line="259" w:lineRule="auto"/>
      <w:outlineLvl w:val="9"/>
    </w:pPr>
    <w:rPr>
      <w:rFonts w:asciiTheme="majorHAnsi" w:eastAsiaTheme="majorEastAsia" w:hAnsiTheme="majorHAnsi" w:cstheme="majorBidi"/>
      <w:b w:val="0"/>
      <w:color w:val="2E74B5" w:themeColor="accent1" w:themeShade="BF"/>
      <w:kern w:val="0"/>
      <w:szCs w:val="32"/>
      <w:lang w:val="en-US"/>
    </w:rPr>
  </w:style>
  <w:style w:type="paragraph" w:styleId="Title">
    <w:name w:val="Title"/>
    <w:basedOn w:val="Normal"/>
    <w:next w:val="Normal"/>
    <w:link w:val="TitleChar"/>
    <w:uiPriority w:val="10"/>
    <w:qFormat/>
    <w:rsid w:val="00855C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CD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121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7737">
      <w:bodyDiv w:val="1"/>
      <w:marLeft w:val="0"/>
      <w:marRight w:val="0"/>
      <w:marTop w:val="0"/>
      <w:marBottom w:val="0"/>
      <w:divBdr>
        <w:top w:val="none" w:sz="0" w:space="0" w:color="auto"/>
        <w:left w:val="none" w:sz="0" w:space="0" w:color="auto"/>
        <w:bottom w:val="none" w:sz="0" w:space="0" w:color="auto"/>
        <w:right w:val="none" w:sz="0" w:space="0" w:color="auto"/>
      </w:divBdr>
    </w:div>
    <w:div w:id="348336642">
      <w:bodyDiv w:val="1"/>
      <w:marLeft w:val="0"/>
      <w:marRight w:val="0"/>
      <w:marTop w:val="0"/>
      <w:marBottom w:val="0"/>
      <w:divBdr>
        <w:top w:val="none" w:sz="0" w:space="0" w:color="auto"/>
        <w:left w:val="none" w:sz="0" w:space="0" w:color="auto"/>
        <w:bottom w:val="none" w:sz="0" w:space="0" w:color="auto"/>
        <w:right w:val="none" w:sz="0" w:space="0" w:color="auto"/>
      </w:divBdr>
    </w:div>
    <w:div w:id="721175194">
      <w:bodyDiv w:val="1"/>
      <w:marLeft w:val="0"/>
      <w:marRight w:val="0"/>
      <w:marTop w:val="0"/>
      <w:marBottom w:val="0"/>
      <w:divBdr>
        <w:top w:val="none" w:sz="0" w:space="0" w:color="auto"/>
        <w:left w:val="none" w:sz="0" w:space="0" w:color="auto"/>
        <w:bottom w:val="none" w:sz="0" w:space="0" w:color="auto"/>
        <w:right w:val="none" w:sz="0" w:space="0" w:color="auto"/>
      </w:divBdr>
    </w:div>
    <w:div w:id="905146696">
      <w:bodyDiv w:val="1"/>
      <w:marLeft w:val="0"/>
      <w:marRight w:val="0"/>
      <w:marTop w:val="0"/>
      <w:marBottom w:val="0"/>
      <w:divBdr>
        <w:top w:val="none" w:sz="0" w:space="0" w:color="auto"/>
        <w:left w:val="none" w:sz="0" w:space="0" w:color="auto"/>
        <w:bottom w:val="none" w:sz="0" w:space="0" w:color="auto"/>
        <w:right w:val="none" w:sz="0" w:space="0" w:color="auto"/>
      </w:divBdr>
    </w:div>
    <w:div w:id="1127771051">
      <w:bodyDiv w:val="1"/>
      <w:marLeft w:val="0"/>
      <w:marRight w:val="0"/>
      <w:marTop w:val="0"/>
      <w:marBottom w:val="0"/>
      <w:divBdr>
        <w:top w:val="none" w:sz="0" w:space="0" w:color="auto"/>
        <w:left w:val="none" w:sz="0" w:space="0" w:color="auto"/>
        <w:bottom w:val="none" w:sz="0" w:space="0" w:color="auto"/>
        <w:right w:val="none" w:sz="0" w:space="0" w:color="auto"/>
      </w:divBdr>
    </w:div>
    <w:div w:id="1130711240">
      <w:bodyDiv w:val="1"/>
      <w:marLeft w:val="0"/>
      <w:marRight w:val="0"/>
      <w:marTop w:val="0"/>
      <w:marBottom w:val="0"/>
      <w:divBdr>
        <w:top w:val="none" w:sz="0" w:space="0" w:color="auto"/>
        <w:left w:val="none" w:sz="0" w:space="0" w:color="auto"/>
        <w:bottom w:val="none" w:sz="0" w:space="0" w:color="auto"/>
        <w:right w:val="none" w:sz="0" w:space="0" w:color="auto"/>
      </w:divBdr>
    </w:div>
    <w:div w:id="1269511175">
      <w:bodyDiv w:val="1"/>
      <w:marLeft w:val="0"/>
      <w:marRight w:val="0"/>
      <w:marTop w:val="0"/>
      <w:marBottom w:val="0"/>
      <w:divBdr>
        <w:top w:val="none" w:sz="0" w:space="0" w:color="auto"/>
        <w:left w:val="none" w:sz="0" w:space="0" w:color="auto"/>
        <w:bottom w:val="none" w:sz="0" w:space="0" w:color="auto"/>
        <w:right w:val="none" w:sz="0" w:space="0" w:color="auto"/>
      </w:divBdr>
    </w:div>
    <w:div w:id="1303192999">
      <w:bodyDiv w:val="1"/>
      <w:marLeft w:val="0"/>
      <w:marRight w:val="0"/>
      <w:marTop w:val="0"/>
      <w:marBottom w:val="0"/>
      <w:divBdr>
        <w:top w:val="none" w:sz="0" w:space="0" w:color="auto"/>
        <w:left w:val="none" w:sz="0" w:space="0" w:color="auto"/>
        <w:bottom w:val="none" w:sz="0" w:space="0" w:color="auto"/>
        <w:right w:val="none" w:sz="0" w:space="0" w:color="auto"/>
      </w:divBdr>
    </w:div>
    <w:div w:id="1576625754">
      <w:bodyDiv w:val="1"/>
      <w:marLeft w:val="0"/>
      <w:marRight w:val="0"/>
      <w:marTop w:val="0"/>
      <w:marBottom w:val="0"/>
      <w:divBdr>
        <w:top w:val="none" w:sz="0" w:space="0" w:color="auto"/>
        <w:left w:val="none" w:sz="0" w:space="0" w:color="auto"/>
        <w:bottom w:val="none" w:sz="0" w:space="0" w:color="auto"/>
        <w:right w:val="none" w:sz="0" w:space="0" w:color="auto"/>
      </w:divBdr>
    </w:div>
    <w:div w:id="20254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www.aib.gov.uk/aib-ad-hoc-statistical-release-id-11-further-tables" TargetMode="External" Id="rId11" /><Relationship Type="http://schemas.openxmlformats.org/officeDocument/2006/relationships/settings" Target="settings.xml" Id="rId5" /><Relationship Type="http://schemas.openxmlformats.org/officeDocument/2006/relationships/hyperlink" Target="https://www.aib.gov.uk/aib-ad-hoc-statistical-release-id-11-final" TargetMode="External" Id="rId10" /><Relationship Type="http://schemas.openxmlformats.org/officeDocument/2006/relationships/styles" Target="styles.xml" Id="rId4" /><Relationship Type="http://schemas.openxmlformats.org/officeDocument/2006/relationships/hyperlink" Target="https://www.aib.gov.uk/aib-ad-hoc-statistical-release-id-11-final" TargetMode="External" Id="rId9" /><Relationship Type="http://schemas.openxmlformats.org/officeDocument/2006/relationships/theme" Target="theme/theme1.xml" Id="rId14" /><Relationship Type="http://schemas.openxmlformats.org/officeDocument/2006/relationships/customXml" Target="/customXML/item3.xml" Id="Re50af140071a42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A36690364</value>
    </field>
    <field name="Objective-Title">
      <value order="0">AiB - Policy Development - Stage 2 Working Groups - Group 1 Report (Final version)</value>
    </field>
    <field name="Objective-Description">
      <value order="0"/>
    </field>
    <field name="Objective-CreationStamp">
      <value order="0">2022-02-25T13:22:24Z</value>
    </field>
    <field name="Objective-IsApproved">
      <value order="0">false</value>
    </field>
    <field name="Objective-IsPublished">
      <value order="0">true</value>
    </field>
    <field name="Objective-DatePublished">
      <value order="0">2022-05-13T11:14:34Z</value>
    </field>
    <field name="Objective-ModificationStamp">
      <value order="0">2022-05-13T11:14:35Z</value>
    </field>
    <field name="Objective-Owner">
      <value order="0">Haddow, Russell R (N300385)</value>
    </field>
    <field name="Objective-Path">
      <value order="0">Objective Global Folder:SG File Plan:Business and industry:Business practice and regulation:Insolvency:Advice and policy: Insolvency:Accountant in Bankruptcy (AiB) - Policy Development - Wider Review of Insolvency Systems: 2020-2025</value>
    </field>
    <field name="Objective-Parent">
      <value order="0">Accountant in Bankruptcy (AiB) - Policy Development - Wider Review of Insolvency Systems: 2020-2025</value>
    </field>
    <field name="Objective-State">
      <value order="0">Published</value>
    </field>
    <field name="Objective-VersionId">
      <value order="0">vA56265532</value>
    </field>
    <field name="Objective-Version">
      <value order="0">27.0</value>
    </field>
    <field name="Objective-VersionNumber">
      <value order="0">39</value>
    </field>
    <field name="Objective-VersionComment">
      <value order="0"/>
    </field>
    <field name="Objective-FileNumber">
      <value order="0">POL/34763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C7E76771-CA6E-4D36-BFE2-BEE476DE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6549</Words>
  <Characters>37330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C (Carol)</dc:creator>
  <cp:keywords/>
  <dc:description/>
  <cp:lastModifiedBy>Carrigan P (Pauline)</cp:lastModifiedBy>
  <cp:revision>2</cp:revision>
  <dcterms:created xsi:type="dcterms:W3CDTF">2022-05-13T11:13:00Z</dcterms:created>
  <dcterms:modified xsi:type="dcterms:W3CDTF">2022-05-13T11:13:00Z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A36690364</vt:lpwstr>
  </property>
  <property fmtid="{D5CDD505-2E9C-101B-9397-08002B2CF9AE}" pid="4" name="Objective-Title">
    <vt:lpwstr>AiB - Policy Development - Stage 2 Working Groups - Group 1 Report (Final version)</vt:lpwstr>
  </property>
  <property fmtid="{D5CDD505-2E9C-101B-9397-08002B2CF9AE}" pid="5" name="Objective-Description">
    <vt:lpwstr/>
  </property>
  <property fmtid="{D5CDD505-2E9C-101B-9397-08002B2CF9AE}" pid="6" name="Objective-CreationStamp">
    <vt:filetime>2022-02-25T13:22:24Z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2022-05-13T11:14:34Z</vt:filetime>
  </property>
  <property fmtid="{D5CDD505-2E9C-101B-9397-08002B2CF9AE}" pid="10" name="Objective-ModificationStamp">
    <vt:filetime>2022-05-13T11:14:35Z</vt:filetime>
  </property>
  <property fmtid="{D5CDD505-2E9C-101B-9397-08002B2CF9AE}" pid="11" name="Objective-Owner">
    <vt:lpwstr>Haddow, Russell R (N300385)</vt:lpwstr>
  </property>
  <property fmtid="{D5CDD505-2E9C-101B-9397-08002B2CF9AE}" pid="12" name="Objective-Path">
    <vt:lpwstr>Objective Global Folder:SG File Plan:Business and industry:Business practice and regulation:Insolvency:Advice and policy: Insolvency:Accountant in Bankruptcy (AiB) - Policy Development - Wider Review of Insolvency Systems: 2020-2025</vt:lpwstr>
  </property>
  <property fmtid="{D5CDD505-2E9C-101B-9397-08002B2CF9AE}" pid="13" name="Objective-Parent">
    <vt:lpwstr>Accountant in Bankruptcy (AiB) - Policy Development - Wider Review of Insolvency Systems: 2020-2025</vt:lpwstr>
  </property>
  <property fmtid="{D5CDD505-2E9C-101B-9397-08002B2CF9AE}" pid="14" name="Objective-State">
    <vt:lpwstr>Published</vt:lpwstr>
  </property>
  <property fmtid="{D5CDD505-2E9C-101B-9397-08002B2CF9AE}" pid="15" name="Objective-VersionId">
    <vt:lpwstr>vA56265532</vt:lpwstr>
  </property>
  <property fmtid="{D5CDD505-2E9C-101B-9397-08002B2CF9AE}" pid="16" name="Objective-Version">
    <vt:lpwstr>27.0</vt:lpwstr>
  </property>
  <property fmtid="{D5CDD505-2E9C-101B-9397-08002B2CF9AE}" pid="17" name="Objective-VersionNumber">
    <vt:r8>39</vt:r8>
  </property>
  <property fmtid="{D5CDD505-2E9C-101B-9397-08002B2CF9AE}" pid="18" name="Objective-VersionComment">
    <vt:lpwstr/>
  </property>
  <property fmtid="{D5CDD505-2E9C-101B-9397-08002B2CF9AE}" pid="19" name="Objective-FileNumber">
    <vt:lpwstr>POL/34763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